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813" w:rsidRDefault="000A0813" w:rsidP="00434D21">
      <w:pPr>
        <w:rPr>
          <w:rFonts w:ascii="Arial" w:eastAsia="Arial" w:hAnsi="Arial" w:cs="Arial"/>
          <w:b/>
          <w:color w:val="D92C15"/>
          <w:sz w:val="48"/>
          <w:szCs w:val="48"/>
        </w:rPr>
      </w:pPr>
      <w:bookmarkStart w:id="0" w:name="_Hlk57990153"/>
    </w:p>
    <w:p w:rsidR="00434D21" w:rsidRDefault="00434D21" w:rsidP="00434D21">
      <w:pPr>
        <w:rPr>
          <w:rFonts w:ascii="Arial" w:eastAsia="Arial" w:hAnsi="Arial" w:cs="Arial"/>
          <w:b/>
          <w:color w:val="D92C15"/>
          <w:sz w:val="48"/>
          <w:szCs w:val="48"/>
        </w:rPr>
      </w:pPr>
      <w:r>
        <w:rPr>
          <w:rFonts w:ascii="Arial" w:eastAsia="Arial" w:hAnsi="Arial" w:cs="Arial"/>
          <w:b/>
          <w:color w:val="D92C15"/>
          <w:sz w:val="48"/>
          <w:szCs w:val="48"/>
        </w:rPr>
        <w:t xml:space="preserve">Il Censimento permanente </w:t>
      </w:r>
    </w:p>
    <w:p w:rsidR="00434D21" w:rsidRDefault="00434D21" w:rsidP="00434D21">
      <w:pPr>
        <w:spacing w:after="240"/>
        <w:rPr>
          <w:rFonts w:ascii="Arial" w:eastAsia="Arial" w:hAnsi="Arial" w:cs="Arial"/>
          <w:b/>
          <w:color w:val="5F5F5F"/>
          <w:sz w:val="28"/>
          <w:szCs w:val="28"/>
        </w:rPr>
      </w:pPr>
      <w:r>
        <w:rPr>
          <w:rFonts w:ascii="Arial" w:eastAsia="Arial" w:hAnsi="Arial" w:cs="Arial"/>
          <w:b/>
          <w:color w:val="D92C15"/>
          <w:sz w:val="48"/>
          <w:szCs w:val="48"/>
        </w:rPr>
        <w:t xml:space="preserve">della popolazione in </w:t>
      </w:r>
      <w:r w:rsidR="00F32911">
        <w:rPr>
          <w:rFonts w:ascii="Arial" w:eastAsia="Arial" w:hAnsi="Arial" w:cs="Arial"/>
          <w:b/>
          <w:color w:val="D92C15"/>
          <w:sz w:val="48"/>
          <w:szCs w:val="48"/>
        </w:rPr>
        <w:t>Basilicata</w:t>
      </w:r>
    </w:p>
    <w:p w:rsidR="00434D21" w:rsidRDefault="00434D21" w:rsidP="00DB3D1E">
      <w:pPr>
        <w:spacing w:after="480"/>
        <w:jc w:val="both"/>
        <w:rPr>
          <w:rFonts w:ascii="Arial" w:eastAsia="Arial" w:hAnsi="Arial" w:cs="Arial"/>
          <w:b/>
          <w:color w:val="5F5F5F"/>
          <w:sz w:val="28"/>
          <w:szCs w:val="28"/>
        </w:rPr>
      </w:pPr>
      <w:r>
        <w:rPr>
          <w:rFonts w:ascii="Arial" w:eastAsia="Arial" w:hAnsi="Arial" w:cs="Arial"/>
          <w:b/>
          <w:color w:val="5F5F5F"/>
          <w:sz w:val="28"/>
          <w:szCs w:val="28"/>
        </w:rPr>
        <w:t>Prima diffusione dei dati definitivi 2018 e 2019</w:t>
      </w:r>
    </w:p>
    <w:p w:rsidR="00C82D35" w:rsidRDefault="00C82D35" w:rsidP="00C82D35">
      <w:pPr>
        <w:spacing w:before="60" w:after="120"/>
        <w:jc w:val="both"/>
        <w:rPr>
          <w:rFonts w:ascii="Trebuchet MS" w:hAnsi="Trebuchet MS" w:cs="Arial"/>
          <w:color w:val="5F5F5F"/>
          <w:sz w:val="20"/>
          <w:szCs w:val="20"/>
        </w:rPr>
      </w:pPr>
      <w:bookmarkStart w:id="1" w:name="_Hlk63248956"/>
      <w:r>
        <w:rPr>
          <w:rFonts w:ascii="Trebuchet MS" w:hAnsi="Trebuchet MS" w:cs="Arial"/>
          <w:color w:val="5F5F5F"/>
          <w:sz w:val="20"/>
          <w:szCs w:val="20"/>
        </w:rPr>
        <w:t xml:space="preserve">Nel corso del 2018 e del 2019 l’Istat ha svolto le prime due rilevazioni del Censimento permanente della popolazione previsto dall’art. 3 della legge 221/2012. La realizzazione del censimento ha comportato un radicale cambiamento di strategia rispetto alla rilevazione diretta, esaustiva e a cadenza decennale su tutti gli individui e tutte le famiglie che ha caratterizzato i censimenti fino al 2011. </w:t>
      </w:r>
      <w:bookmarkEnd w:id="1"/>
      <w:r>
        <w:rPr>
          <w:rFonts w:ascii="Trebuchet MS" w:hAnsi="Trebuchet MS" w:cs="Arial"/>
          <w:color w:val="5F5F5F"/>
          <w:sz w:val="20"/>
          <w:szCs w:val="20"/>
        </w:rPr>
        <w:t xml:space="preserve">Il nuovo censimento si basa, infatti, sulla combinazione di rilevazioni campionarie e dati di fonte amministrativa trattati statisticamente, è realizzato ogni anno ed è inserito all’interno del Sistema Integrato dei Registri statistici gestito dall’Istat. </w:t>
      </w:r>
    </w:p>
    <w:p w:rsidR="00C82D35" w:rsidRDefault="00C82D35" w:rsidP="00C82D35">
      <w:pPr>
        <w:spacing w:before="60" w:after="120"/>
        <w:jc w:val="both"/>
        <w:rPr>
          <w:rFonts w:ascii="Trebuchet MS" w:hAnsi="Trebuchet MS" w:cs="Arial"/>
          <w:color w:val="5F5F5F"/>
          <w:sz w:val="20"/>
          <w:szCs w:val="20"/>
        </w:rPr>
      </w:pPr>
      <w:r>
        <w:rPr>
          <w:rFonts w:ascii="Trebuchet MS" w:hAnsi="Trebuchet MS" w:cs="Arial"/>
          <w:color w:val="5F5F5F"/>
          <w:sz w:val="20"/>
          <w:szCs w:val="20"/>
        </w:rPr>
        <w:t xml:space="preserve">I dati resi disponibili riguardano gli anni 2018-2019 e sono stati ottenuti attraverso due indagini annuali sul territorio (una basata sulle liste anagrafiche e l’altra su un campione areale d’indirizzi), condotte su un campione di circa 2.800 comuni (di cui circa 1.100 coinvolti ogni anno e circa 1.700 che effettuano le rilevazioni con rotazione annuale). A queste indagini si affianca l’utilizzo di numerose fonti amministrative integrate, finalizzato al consolidamento dei risultati annuali riferiti alla totalità dei comuni italiani. </w:t>
      </w:r>
    </w:p>
    <w:p w:rsidR="00C82D35" w:rsidRDefault="00C82D35" w:rsidP="00C82D35">
      <w:pPr>
        <w:spacing w:before="60" w:after="120"/>
        <w:jc w:val="both"/>
        <w:rPr>
          <w:rFonts w:ascii="Trebuchet MS" w:hAnsi="Trebuchet MS" w:cs="Arial"/>
          <w:color w:val="5F5F5F"/>
          <w:sz w:val="20"/>
          <w:szCs w:val="20"/>
        </w:rPr>
      </w:pPr>
      <w:r>
        <w:rPr>
          <w:rFonts w:ascii="Trebuchet MS" w:hAnsi="Trebuchet MS" w:cs="Arial"/>
          <w:color w:val="5F5F5F"/>
          <w:sz w:val="20"/>
          <w:szCs w:val="20"/>
        </w:rPr>
        <w:t>Tutti i dati dettagliati a livello di singolo comune sono consultabili, dal 15 dicembre 2020, su tre piattaforme caratterizzate da diverse funzionalità e contenuti:</w:t>
      </w:r>
    </w:p>
    <w:p w:rsidR="00C82D35" w:rsidRDefault="00C82D35" w:rsidP="00C82D35">
      <w:pPr>
        <w:pStyle w:val="Paragrafoelenco"/>
        <w:numPr>
          <w:ilvl w:val="0"/>
          <w:numId w:val="32"/>
        </w:numPr>
        <w:spacing w:before="60" w:after="60" w:line="240" w:lineRule="auto"/>
        <w:ind w:left="567" w:hanging="329"/>
        <w:jc w:val="both"/>
        <w:rPr>
          <w:rFonts w:ascii="Trebuchet MS" w:hAnsi="Trebuchet MS" w:cs="Arial"/>
          <w:color w:val="5F5F5F"/>
          <w:sz w:val="20"/>
          <w:szCs w:val="20"/>
        </w:rPr>
      </w:pPr>
      <w:r>
        <w:rPr>
          <w:rFonts w:ascii="Trebuchet MS" w:hAnsi="Trebuchet MS" w:cs="Arial"/>
          <w:color w:val="5F5F5F"/>
          <w:sz w:val="20"/>
          <w:szCs w:val="20"/>
        </w:rPr>
        <w:t>Data Warehouse tematico dei Censimenti permanenti (raggiungibile al link: http://dati-censimentipermanenti.istat.it/). Sono disponibili i dati per gli anni 2018 e 2019; le tabelle sono personalizzabili ed esportabili in formato .xls e .csv.</w:t>
      </w:r>
    </w:p>
    <w:p w:rsidR="00C82D35" w:rsidRDefault="00C82D35" w:rsidP="00C82D35">
      <w:pPr>
        <w:pStyle w:val="Paragrafoelenco"/>
        <w:numPr>
          <w:ilvl w:val="0"/>
          <w:numId w:val="32"/>
        </w:numPr>
        <w:spacing w:before="60" w:after="60" w:line="240" w:lineRule="auto"/>
        <w:ind w:left="567" w:hanging="329"/>
        <w:jc w:val="both"/>
        <w:rPr>
          <w:rFonts w:ascii="Trebuchet MS" w:hAnsi="Trebuchet MS" w:cs="Arial"/>
          <w:color w:val="5F5F5F"/>
          <w:sz w:val="20"/>
          <w:szCs w:val="20"/>
        </w:rPr>
      </w:pPr>
      <w:r>
        <w:rPr>
          <w:rFonts w:ascii="Trebuchet MS" w:hAnsi="Trebuchet MS" w:cs="Arial"/>
          <w:color w:val="5F5F5F"/>
          <w:sz w:val="20"/>
          <w:szCs w:val="20"/>
          <w:lang w:val="en-GB"/>
        </w:rPr>
        <w:t xml:space="preserve">Data Browser (link: http://esploradati.censimentopopolazione.istat.it/). </w:t>
      </w:r>
      <w:r>
        <w:rPr>
          <w:rFonts w:ascii="Trebuchet MS" w:hAnsi="Trebuchet MS" w:cs="Arial"/>
          <w:color w:val="5F5F5F"/>
          <w:sz w:val="20"/>
          <w:szCs w:val="20"/>
        </w:rPr>
        <w:t>Sono disponibili i dati in formato tabellare, sotto forma di grafici e mappe. I dati, riferiti agli anni 2018, 2019 e alla serie storica 1951-2011 (riportata ai confini territoriali del 2019) sono navigabili e visualizzabili per territorio e per tema ed esportabili in formato .csv.</w:t>
      </w:r>
    </w:p>
    <w:p w:rsidR="00C82D35" w:rsidRDefault="00C82D35" w:rsidP="00C82D35">
      <w:pPr>
        <w:pStyle w:val="Paragrafoelenco"/>
        <w:numPr>
          <w:ilvl w:val="0"/>
          <w:numId w:val="32"/>
        </w:numPr>
        <w:spacing w:before="60" w:after="60" w:line="240" w:lineRule="auto"/>
        <w:ind w:left="567" w:hanging="329"/>
        <w:jc w:val="both"/>
        <w:rPr>
          <w:rFonts w:ascii="Trebuchet MS" w:hAnsi="Trebuchet MS" w:cs="Arial"/>
          <w:color w:val="5F5F5F"/>
          <w:sz w:val="20"/>
          <w:szCs w:val="20"/>
        </w:rPr>
      </w:pPr>
      <w:r>
        <w:rPr>
          <w:rFonts w:ascii="Trebuchet MS" w:hAnsi="Trebuchet MS" w:cs="Arial"/>
          <w:color w:val="5F5F5F"/>
          <w:sz w:val="20"/>
          <w:szCs w:val="20"/>
        </w:rPr>
        <w:t xml:space="preserve">Mappe GIS (http://gis.censimentopopolazione.istat.it/). Sono disponibili elaborazioni cartografiche interattive per la popolazione residente in serie storica 1951-2019. </w:t>
      </w:r>
    </w:p>
    <w:p w:rsidR="000A0813" w:rsidRDefault="00C82D35" w:rsidP="00C82D35">
      <w:pPr>
        <w:spacing w:before="60" w:after="120"/>
        <w:jc w:val="both"/>
        <w:rPr>
          <w:rFonts w:ascii="Trebuchet MS" w:hAnsi="Trebuchet MS" w:cs="Arial"/>
          <w:color w:val="5F5F5F"/>
          <w:sz w:val="20"/>
          <w:szCs w:val="20"/>
        </w:rPr>
      </w:pPr>
      <w:r>
        <w:rPr>
          <w:rFonts w:ascii="Trebuchet MS" w:hAnsi="Trebuchet MS" w:cs="Arial"/>
          <w:color w:val="5F5F5F"/>
          <w:sz w:val="20"/>
          <w:szCs w:val="20"/>
        </w:rPr>
        <w:t xml:space="preserve">Di seguito viene riportata una breve presentazione dei risultati delle rilevazioni svolte in </w:t>
      </w:r>
      <w:r w:rsidR="00427B53">
        <w:rPr>
          <w:rFonts w:ascii="Trebuchet MS" w:hAnsi="Trebuchet MS" w:cs="Arial"/>
          <w:color w:val="5F5F5F"/>
          <w:sz w:val="20"/>
          <w:szCs w:val="20"/>
        </w:rPr>
        <w:t>Basilicata</w:t>
      </w:r>
      <w:r w:rsidR="00AD352E" w:rsidRPr="003B71FA">
        <w:rPr>
          <w:rFonts w:ascii="Trebuchet MS" w:hAnsi="Trebuchet MS" w:cs="Arial"/>
          <w:color w:val="5F5F5F"/>
          <w:sz w:val="20"/>
          <w:szCs w:val="20"/>
        </w:rPr>
        <w:t>nel 2018 e nel 2019.</w:t>
      </w:r>
    </w:p>
    <w:p w:rsidR="006B60EC" w:rsidRPr="00190837" w:rsidRDefault="006B60EC" w:rsidP="00E072ED">
      <w:pPr>
        <w:spacing w:before="600" w:after="120"/>
        <w:jc w:val="both"/>
        <w:rPr>
          <w:rFonts w:ascii="Trebuchet MS" w:hAnsi="Trebuchet MS" w:cs="Arial"/>
          <w:b/>
          <w:color w:val="5F5F5F"/>
          <w:kern w:val="28"/>
          <w:sz w:val="22"/>
          <w:szCs w:val="22"/>
        </w:rPr>
      </w:pPr>
      <w:r w:rsidRPr="00190837">
        <w:rPr>
          <w:rFonts w:ascii="Trebuchet MS" w:hAnsi="Trebuchet MS" w:cs="Arial"/>
          <w:b/>
          <w:color w:val="5F5F5F"/>
          <w:kern w:val="28"/>
          <w:sz w:val="22"/>
          <w:szCs w:val="22"/>
        </w:rPr>
        <w:t>Sintesi dei principali risultati</w:t>
      </w:r>
    </w:p>
    <w:p w:rsidR="00F43490" w:rsidRPr="00190837" w:rsidRDefault="00F43490" w:rsidP="003D1E6C">
      <w:pPr>
        <w:pStyle w:val="Paragrafoelenco"/>
        <w:widowControl w:val="0"/>
        <w:numPr>
          <w:ilvl w:val="0"/>
          <w:numId w:val="15"/>
        </w:numPr>
        <w:overflowPunct w:val="0"/>
        <w:autoSpaceDE w:val="0"/>
        <w:autoSpaceDN w:val="0"/>
        <w:adjustRightInd w:val="0"/>
        <w:spacing w:before="60" w:after="120" w:line="240" w:lineRule="auto"/>
        <w:ind w:left="357" w:hanging="357"/>
        <w:contextualSpacing w:val="0"/>
        <w:jc w:val="both"/>
        <w:rPr>
          <w:rFonts w:ascii="Trebuchet MS" w:hAnsi="Trebuchet MS" w:cs="Arial"/>
          <w:color w:val="5F5F5F"/>
          <w:sz w:val="20"/>
          <w:szCs w:val="20"/>
        </w:rPr>
      </w:pPr>
      <w:r w:rsidRPr="00190837">
        <w:rPr>
          <w:rFonts w:ascii="Trebuchet MS" w:hAnsi="Trebuchet MS" w:cs="Arial"/>
          <w:color w:val="5F5F5F"/>
          <w:sz w:val="20"/>
          <w:szCs w:val="20"/>
        </w:rPr>
        <w:t xml:space="preserve">La popolazione censita in </w:t>
      </w:r>
      <w:r w:rsidR="00427B53" w:rsidRPr="00190837">
        <w:rPr>
          <w:rFonts w:ascii="Trebuchet MS" w:hAnsi="Trebuchet MS" w:cs="Arial"/>
          <w:color w:val="5F5F5F"/>
          <w:sz w:val="20"/>
          <w:szCs w:val="20"/>
        </w:rPr>
        <w:t>Basilicata</w:t>
      </w:r>
      <w:r w:rsidRPr="00190837">
        <w:rPr>
          <w:rFonts w:ascii="Trebuchet MS" w:hAnsi="Trebuchet MS" w:cs="Arial"/>
          <w:color w:val="5F5F5F"/>
          <w:sz w:val="20"/>
          <w:szCs w:val="20"/>
        </w:rPr>
        <w:t xml:space="preserve"> al 31 dicembre 2019 ammonta a </w:t>
      </w:r>
      <w:r w:rsidR="00DA1F57" w:rsidRPr="00DA1F57">
        <w:rPr>
          <w:rFonts w:ascii="Trebuchet MS" w:hAnsi="Trebuchet MS" w:cs="Arial"/>
          <w:color w:val="5F5F5F"/>
          <w:sz w:val="20"/>
          <w:szCs w:val="20"/>
        </w:rPr>
        <w:t xml:space="preserve">553.254 </w:t>
      </w:r>
      <w:r w:rsidRPr="00190837">
        <w:rPr>
          <w:rFonts w:ascii="Trebuchet MS" w:hAnsi="Trebuchet MS" w:cs="Arial"/>
          <w:color w:val="5F5F5F"/>
          <w:sz w:val="20"/>
          <w:szCs w:val="20"/>
        </w:rPr>
        <w:t>unità</w:t>
      </w:r>
      <w:r w:rsidR="007B363E">
        <w:rPr>
          <w:rFonts w:ascii="Trebuchet MS" w:hAnsi="Trebuchet MS" w:cs="Arial"/>
          <w:color w:val="5F5F5F"/>
          <w:sz w:val="20"/>
          <w:szCs w:val="20"/>
        </w:rPr>
        <w:t>,</w:t>
      </w:r>
      <w:r w:rsidRPr="00190837">
        <w:rPr>
          <w:rFonts w:ascii="Trebuchet MS" w:hAnsi="Trebuchet MS" w:cs="Arial"/>
          <w:color w:val="5F5F5F"/>
          <w:sz w:val="20"/>
          <w:szCs w:val="20"/>
        </w:rPr>
        <w:t xml:space="preserve"> con una riduzione di </w:t>
      </w:r>
      <w:r w:rsidR="00427B53" w:rsidRPr="00190837">
        <w:rPr>
          <w:rFonts w:ascii="Trebuchet MS" w:hAnsi="Trebuchet MS" w:cs="Arial"/>
          <w:color w:val="5F5F5F"/>
          <w:sz w:val="20"/>
          <w:szCs w:val="20"/>
        </w:rPr>
        <w:t>5.333</w:t>
      </w:r>
      <w:r w:rsidRPr="00190837">
        <w:rPr>
          <w:rFonts w:ascii="Trebuchet MS" w:hAnsi="Trebuchet MS" w:cs="Arial"/>
          <w:color w:val="5F5F5F"/>
          <w:sz w:val="20"/>
          <w:szCs w:val="20"/>
        </w:rPr>
        <w:t xml:space="preserve"> abitanti (-9</w:t>
      </w:r>
      <w:r w:rsidR="00427B53" w:rsidRPr="00190837">
        <w:rPr>
          <w:rFonts w:ascii="Trebuchet MS" w:hAnsi="Trebuchet MS" w:cs="Arial"/>
          <w:color w:val="5F5F5F"/>
          <w:sz w:val="20"/>
          <w:szCs w:val="20"/>
        </w:rPr>
        <w:t>,5</w:t>
      </w:r>
      <w:r w:rsidRPr="00190837">
        <w:rPr>
          <w:rFonts w:ascii="Trebuchet MS" w:hAnsi="Trebuchet MS" w:cs="Arial"/>
          <w:color w:val="5F5F5F"/>
          <w:sz w:val="20"/>
          <w:szCs w:val="20"/>
        </w:rPr>
        <w:t xml:space="preserve"> per mille) rispetto all’anno precedente e di </w:t>
      </w:r>
      <w:r w:rsidR="00427B53" w:rsidRPr="00190837">
        <w:rPr>
          <w:rFonts w:ascii="Trebuchet MS" w:hAnsi="Trebuchet MS" w:cs="Arial"/>
          <w:color w:val="5F5F5F"/>
          <w:sz w:val="20"/>
          <w:szCs w:val="20"/>
        </w:rPr>
        <w:t>24.782</w:t>
      </w:r>
      <w:r w:rsidRPr="00190837">
        <w:rPr>
          <w:rFonts w:ascii="Trebuchet MS" w:hAnsi="Trebuchet MS" w:cs="Arial"/>
          <w:color w:val="5F5F5F"/>
          <w:sz w:val="20"/>
          <w:szCs w:val="20"/>
        </w:rPr>
        <w:t xml:space="preserve"> abitanti (-</w:t>
      </w:r>
      <w:r w:rsidR="00427B53" w:rsidRPr="00190837">
        <w:rPr>
          <w:rFonts w:ascii="Trebuchet MS" w:hAnsi="Trebuchet MS" w:cs="Arial"/>
          <w:color w:val="5F5F5F"/>
          <w:sz w:val="20"/>
          <w:szCs w:val="20"/>
        </w:rPr>
        <w:t>5,5</w:t>
      </w:r>
      <w:r w:rsidR="00E54FAB" w:rsidRPr="00190837">
        <w:rPr>
          <w:rFonts w:ascii="Trebuchet MS" w:hAnsi="Trebuchet MS" w:cs="Arial"/>
          <w:color w:val="5F5F5F"/>
          <w:sz w:val="20"/>
          <w:szCs w:val="20"/>
        </w:rPr>
        <w:t xml:space="preserve">per mille </w:t>
      </w:r>
      <w:r w:rsidRPr="00190837">
        <w:rPr>
          <w:rFonts w:ascii="Trebuchet MS" w:hAnsi="Trebuchet MS" w:cs="Arial"/>
          <w:color w:val="5F5F5F"/>
          <w:sz w:val="20"/>
          <w:szCs w:val="20"/>
        </w:rPr>
        <w:t>in media ogni anno) rispetto al Censimento 2011</w:t>
      </w:r>
      <w:r w:rsidR="00AE3F83" w:rsidRPr="00190837">
        <w:rPr>
          <w:rFonts w:ascii="Trebuchet MS" w:hAnsi="Trebuchet MS" w:cs="Arial"/>
          <w:color w:val="5F5F5F"/>
          <w:sz w:val="20"/>
          <w:szCs w:val="20"/>
        </w:rPr>
        <w:t>.</w:t>
      </w:r>
    </w:p>
    <w:p w:rsidR="006B60EC" w:rsidRPr="00190837" w:rsidRDefault="00923684" w:rsidP="000531BF">
      <w:pPr>
        <w:pStyle w:val="Paragrafoelenco"/>
        <w:widowControl w:val="0"/>
        <w:numPr>
          <w:ilvl w:val="0"/>
          <w:numId w:val="15"/>
        </w:numPr>
        <w:overflowPunct w:val="0"/>
        <w:autoSpaceDE w:val="0"/>
        <w:autoSpaceDN w:val="0"/>
        <w:adjustRightInd w:val="0"/>
        <w:spacing w:before="60" w:after="120" w:line="240" w:lineRule="auto"/>
        <w:ind w:left="357" w:hanging="357"/>
        <w:contextualSpacing w:val="0"/>
        <w:jc w:val="both"/>
        <w:rPr>
          <w:rFonts w:ascii="Trebuchet MS" w:hAnsi="Trebuchet MS" w:cs="Arial"/>
          <w:color w:val="5F5F5F"/>
          <w:sz w:val="20"/>
          <w:szCs w:val="20"/>
        </w:rPr>
      </w:pPr>
      <w:r>
        <w:rPr>
          <w:rFonts w:ascii="Trebuchet MS" w:hAnsi="Trebuchet MS" w:cs="Arial"/>
          <w:color w:val="5F5F5F"/>
          <w:sz w:val="20"/>
          <w:szCs w:val="20"/>
        </w:rPr>
        <w:t xml:space="preserve">In merito </w:t>
      </w:r>
      <w:r w:rsidR="006B60EC" w:rsidRPr="00190837">
        <w:rPr>
          <w:rFonts w:ascii="Trebuchet MS" w:hAnsi="Trebuchet MS" w:cs="Arial"/>
          <w:color w:val="5F5F5F"/>
          <w:sz w:val="20"/>
          <w:szCs w:val="20"/>
        </w:rPr>
        <w:t xml:space="preserve">al 2011, i residenti diminuiscono in tutte </w:t>
      </w:r>
      <w:r w:rsidR="00427B53" w:rsidRPr="00190837">
        <w:rPr>
          <w:rFonts w:ascii="Trebuchet MS" w:hAnsi="Trebuchet MS" w:cs="Arial"/>
          <w:color w:val="5F5F5F"/>
          <w:sz w:val="20"/>
          <w:szCs w:val="20"/>
        </w:rPr>
        <w:t xml:space="preserve">e due </w:t>
      </w:r>
      <w:r w:rsidR="006B60EC" w:rsidRPr="00190837">
        <w:rPr>
          <w:rFonts w:ascii="Trebuchet MS" w:hAnsi="Trebuchet MS" w:cs="Arial"/>
          <w:color w:val="5F5F5F"/>
          <w:sz w:val="20"/>
          <w:szCs w:val="20"/>
        </w:rPr>
        <w:t xml:space="preserve">le province </w:t>
      </w:r>
      <w:r w:rsidR="00427B53" w:rsidRPr="00190837">
        <w:rPr>
          <w:rFonts w:ascii="Trebuchet MS" w:hAnsi="Trebuchet MS" w:cs="Arial"/>
          <w:color w:val="5F5F5F"/>
          <w:sz w:val="20"/>
          <w:szCs w:val="20"/>
        </w:rPr>
        <w:t>lucane</w:t>
      </w:r>
      <w:r w:rsidR="00796481" w:rsidRPr="00190837">
        <w:rPr>
          <w:rFonts w:ascii="Trebuchet MS" w:hAnsi="Trebuchet MS" w:cs="Arial"/>
          <w:color w:val="5F5F5F"/>
          <w:sz w:val="20"/>
          <w:szCs w:val="20"/>
        </w:rPr>
        <w:t>, ma in provincia di Matera il calo è più contenuto</w:t>
      </w:r>
      <w:r w:rsidR="006B60EC" w:rsidRPr="00190837">
        <w:rPr>
          <w:rFonts w:ascii="Trebuchet MS" w:hAnsi="Trebuchet MS" w:cs="Arial"/>
          <w:color w:val="5F5F5F"/>
          <w:sz w:val="20"/>
          <w:szCs w:val="20"/>
        </w:rPr>
        <w:t xml:space="preserve">. </w:t>
      </w:r>
      <w:r w:rsidR="006B5512" w:rsidRPr="00190837">
        <w:rPr>
          <w:rFonts w:ascii="Trebuchet MS" w:hAnsi="Trebuchet MS" w:cs="Arial"/>
          <w:color w:val="5F5F5F"/>
          <w:sz w:val="20"/>
          <w:szCs w:val="20"/>
        </w:rPr>
        <w:t>Due lucani su tre vivono in provincia di Potenza, che copre il 65,6% della superficie regionale</w:t>
      </w:r>
      <w:r w:rsidR="00DA0423" w:rsidRPr="00190837">
        <w:rPr>
          <w:rFonts w:ascii="Trebuchet MS" w:hAnsi="Trebuchet MS" w:cs="Arial"/>
          <w:color w:val="5F5F5F"/>
          <w:sz w:val="20"/>
          <w:szCs w:val="20"/>
        </w:rPr>
        <w:t>.</w:t>
      </w:r>
    </w:p>
    <w:p w:rsidR="001F51FE" w:rsidRPr="00190837" w:rsidRDefault="006B60EC" w:rsidP="00E54FAB">
      <w:pPr>
        <w:pStyle w:val="Paragrafoelenco"/>
        <w:widowControl w:val="0"/>
        <w:numPr>
          <w:ilvl w:val="0"/>
          <w:numId w:val="15"/>
        </w:numPr>
        <w:overflowPunct w:val="0"/>
        <w:autoSpaceDE w:val="0"/>
        <w:autoSpaceDN w:val="0"/>
        <w:adjustRightInd w:val="0"/>
        <w:spacing w:before="60" w:after="120" w:line="240" w:lineRule="auto"/>
        <w:ind w:left="357" w:hanging="357"/>
        <w:contextualSpacing w:val="0"/>
        <w:jc w:val="both"/>
        <w:rPr>
          <w:rFonts w:ascii="Trebuchet MS" w:hAnsi="Trebuchet MS" w:cs="Arial"/>
          <w:color w:val="5F5F5F"/>
          <w:sz w:val="20"/>
          <w:szCs w:val="20"/>
        </w:rPr>
      </w:pPr>
      <w:r w:rsidRPr="00190837">
        <w:rPr>
          <w:rFonts w:ascii="Trebuchet MS" w:hAnsi="Trebuchet MS" w:cs="Arial"/>
          <w:color w:val="5F5F5F"/>
          <w:sz w:val="20"/>
          <w:szCs w:val="20"/>
        </w:rPr>
        <w:t xml:space="preserve">Il comune più popoloso è </w:t>
      </w:r>
      <w:r w:rsidR="006B5512" w:rsidRPr="00190837">
        <w:rPr>
          <w:rFonts w:ascii="Trebuchet MS" w:hAnsi="Trebuchet MS" w:cs="Arial"/>
          <w:color w:val="5F5F5F"/>
          <w:sz w:val="20"/>
          <w:szCs w:val="20"/>
        </w:rPr>
        <w:t>Potenza</w:t>
      </w:r>
      <w:r w:rsidRPr="00190837">
        <w:rPr>
          <w:rFonts w:ascii="Trebuchet MS" w:hAnsi="Trebuchet MS" w:cs="Arial"/>
          <w:color w:val="5F5F5F"/>
          <w:sz w:val="20"/>
          <w:szCs w:val="20"/>
        </w:rPr>
        <w:t xml:space="preserve"> con </w:t>
      </w:r>
      <w:r w:rsidR="006B5512" w:rsidRPr="00190837">
        <w:rPr>
          <w:rFonts w:ascii="Trebuchet MS" w:hAnsi="Trebuchet MS" w:cs="Arial"/>
          <w:color w:val="5F5F5F"/>
          <w:sz w:val="20"/>
          <w:szCs w:val="20"/>
        </w:rPr>
        <w:t>66.393</w:t>
      </w:r>
      <w:r w:rsidRPr="00190837">
        <w:rPr>
          <w:rFonts w:ascii="Trebuchet MS" w:hAnsi="Trebuchet MS" w:cs="Arial"/>
          <w:color w:val="5F5F5F"/>
          <w:sz w:val="20"/>
          <w:szCs w:val="20"/>
        </w:rPr>
        <w:t xml:space="preserve"> abitanti, quello più piccolo è </w:t>
      </w:r>
      <w:r w:rsidR="006B5512" w:rsidRPr="00190837">
        <w:rPr>
          <w:rFonts w:ascii="Trebuchet MS" w:hAnsi="Trebuchet MS" w:cs="Arial"/>
          <w:color w:val="5F5F5F"/>
          <w:sz w:val="20"/>
          <w:szCs w:val="20"/>
        </w:rPr>
        <w:t>San Paolo Albanese</w:t>
      </w:r>
      <w:r w:rsidRPr="00190837">
        <w:rPr>
          <w:rFonts w:ascii="Trebuchet MS" w:hAnsi="Trebuchet MS" w:cs="Arial"/>
          <w:color w:val="5F5F5F"/>
          <w:sz w:val="20"/>
          <w:szCs w:val="20"/>
        </w:rPr>
        <w:t xml:space="preserve">, in provincia di </w:t>
      </w:r>
      <w:r w:rsidR="006B5512" w:rsidRPr="00190837">
        <w:rPr>
          <w:rFonts w:ascii="Trebuchet MS" w:hAnsi="Trebuchet MS" w:cs="Arial"/>
          <w:color w:val="5F5F5F"/>
          <w:sz w:val="20"/>
          <w:szCs w:val="20"/>
        </w:rPr>
        <w:t>Potenza</w:t>
      </w:r>
      <w:r w:rsidRPr="00190837">
        <w:rPr>
          <w:rFonts w:ascii="Trebuchet MS" w:hAnsi="Trebuchet MS" w:cs="Arial"/>
          <w:color w:val="5F5F5F"/>
          <w:sz w:val="20"/>
          <w:szCs w:val="20"/>
        </w:rPr>
        <w:t>, con 22</w:t>
      </w:r>
      <w:r w:rsidR="006B5512" w:rsidRPr="00190837">
        <w:rPr>
          <w:rFonts w:ascii="Trebuchet MS" w:hAnsi="Trebuchet MS" w:cs="Arial"/>
          <w:color w:val="5F5F5F"/>
          <w:sz w:val="20"/>
          <w:szCs w:val="20"/>
        </w:rPr>
        <w:t>9</w:t>
      </w:r>
      <w:r w:rsidRPr="00190837">
        <w:rPr>
          <w:rFonts w:ascii="Trebuchet MS" w:hAnsi="Trebuchet MS" w:cs="Arial"/>
          <w:color w:val="5F5F5F"/>
          <w:sz w:val="20"/>
          <w:szCs w:val="20"/>
        </w:rPr>
        <w:t xml:space="preserve"> abitanti.</w:t>
      </w:r>
    </w:p>
    <w:p w:rsidR="006B60EC" w:rsidRPr="00190837" w:rsidRDefault="006B60EC" w:rsidP="00AE3F83">
      <w:pPr>
        <w:pStyle w:val="Paragrafoelenco"/>
        <w:widowControl w:val="0"/>
        <w:numPr>
          <w:ilvl w:val="0"/>
          <w:numId w:val="15"/>
        </w:numPr>
        <w:overflowPunct w:val="0"/>
        <w:autoSpaceDE w:val="0"/>
        <w:autoSpaceDN w:val="0"/>
        <w:adjustRightInd w:val="0"/>
        <w:spacing w:before="60" w:after="120" w:line="240" w:lineRule="auto"/>
        <w:contextualSpacing w:val="0"/>
        <w:jc w:val="both"/>
        <w:rPr>
          <w:rFonts w:ascii="Trebuchet MS" w:hAnsi="Trebuchet MS" w:cs="Arial"/>
          <w:color w:val="5F5F5F"/>
          <w:sz w:val="20"/>
          <w:szCs w:val="20"/>
        </w:rPr>
      </w:pPr>
      <w:r w:rsidRPr="00190837">
        <w:rPr>
          <w:rFonts w:ascii="Trebuchet MS" w:hAnsi="Trebuchet MS" w:cs="Arial"/>
          <w:color w:val="5F5F5F"/>
          <w:sz w:val="20"/>
          <w:szCs w:val="20"/>
        </w:rPr>
        <w:t xml:space="preserve">La struttura per genere della popolazione residente si caratterizza per una maggiore presenza di donne, </w:t>
      </w:r>
      <w:r w:rsidR="00BF5B2B">
        <w:rPr>
          <w:rFonts w:ascii="Trebuchet MS" w:hAnsi="Trebuchet MS" w:cs="Arial"/>
          <w:color w:val="5F5F5F"/>
          <w:sz w:val="20"/>
          <w:szCs w:val="20"/>
        </w:rPr>
        <w:t xml:space="preserve">che </w:t>
      </w:r>
      <w:r w:rsidR="00DA0423" w:rsidRPr="00190837">
        <w:rPr>
          <w:rFonts w:ascii="Trebuchet MS" w:hAnsi="Trebuchet MS" w:cs="Arial"/>
          <w:color w:val="5F5F5F"/>
          <w:sz w:val="20"/>
          <w:szCs w:val="20"/>
        </w:rPr>
        <w:t>sono</w:t>
      </w:r>
      <w:r w:rsidR="006B5512" w:rsidRPr="00190837">
        <w:rPr>
          <w:rFonts w:ascii="Trebuchet MS" w:hAnsi="Trebuchet MS" w:cs="Arial"/>
          <w:color w:val="5F5F5F"/>
          <w:sz w:val="20"/>
          <w:szCs w:val="20"/>
        </w:rPr>
        <w:t>281</w:t>
      </w:r>
      <w:r w:rsidRPr="00190837">
        <w:rPr>
          <w:rFonts w:ascii="Trebuchet MS" w:hAnsi="Trebuchet MS" w:cs="Arial"/>
          <w:color w:val="5F5F5F"/>
          <w:sz w:val="20"/>
          <w:szCs w:val="20"/>
        </w:rPr>
        <w:t xml:space="preserve"> mila, il 5</w:t>
      </w:r>
      <w:r w:rsidR="006B5512" w:rsidRPr="00190837">
        <w:rPr>
          <w:rFonts w:ascii="Trebuchet MS" w:hAnsi="Trebuchet MS" w:cs="Arial"/>
          <w:color w:val="5F5F5F"/>
          <w:sz w:val="20"/>
          <w:szCs w:val="20"/>
        </w:rPr>
        <w:t>0</w:t>
      </w:r>
      <w:r w:rsidRPr="00190837">
        <w:rPr>
          <w:rFonts w:ascii="Trebuchet MS" w:hAnsi="Trebuchet MS" w:cs="Arial"/>
          <w:color w:val="5F5F5F"/>
          <w:sz w:val="20"/>
          <w:szCs w:val="20"/>
        </w:rPr>
        <w:t>,</w:t>
      </w:r>
      <w:r w:rsidR="006B5512" w:rsidRPr="00190837">
        <w:rPr>
          <w:rFonts w:ascii="Trebuchet MS" w:hAnsi="Trebuchet MS" w:cs="Arial"/>
          <w:color w:val="5F5F5F"/>
          <w:sz w:val="20"/>
          <w:szCs w:val="20"/>
        </w:rPr>
        <w:t>8</w:t>
      </w:r>
      <w:r w:rsidRPr="00190837">
        <w:rPr>
          <w:rFonts w:ascii="Trebuchet MS" w:hAnsi="Trebuchet MS" w:cs="Arial"/>
          <w:color w:val="5F5F5F"/>
          <w:sz w:val="20"/>
          <w:szCs w:val="20"/>
        </w:rPr>
        <w:t>% del totale.</w:t>
      </w:r>
    </w:p>
    <w:p w:rsidR="006B60EC" w:rsidRPr="00190837" w:rsidRDefault="006B60EC" w:rsidP="00E54FAB">
      <w:pPr>
        <w:pStyle w:val="Paragrafoelenco"/>
        <w:widowControl w:val="0"/>
        <w:numPr>
          <w:ilvl w:val="0"/>
          <w:numId w:val="15"/>
        </w:numPr>
        <w:overflowPunct w:val="0"/>
        <w:autoSpaceDE w:val="0"/>
        <w:autoSpaceDN w:val="0"/>
        <w:adjustRightInd w:val="0"/>
        <w:spacing w:before="60" w:after="120" w:line="240" w:lineRule="auto"/>
        <w:ind w:left="357" w:hanging="357"/>
        <w:contextualSpacing w:val="0"/>
        <w:jc w:val="both"/>
        <w:rPr>
          <w:rFonts w:ascii="Trebuchet MS" w:hAnsi="Trebuchet MS" w:cs="Arial"/>
          <w:color w:val="5F5F5F"/>
          <w:sz w:val="20"/>
          <w:szCs w:val="20"/>
        </w:rPr>
      </w:pPr>
      <w:r w:rsidRPr="00190837">
        <w:rPr>
          <w:rFonts w:ascii="Trebuchet MS" w:hAnsi="Trebuchet MS" w:cs="Arial"/>
          <w:color w:val="5F5F5F"/>
          <w:sz w:val="20"/>
          <w:szCs w:val="20"/>
        </w:rPr>
        <w:t>L’età media è 4</w:t>
      </w:r>
      <w:r w:rsidR="00836DAB" w:rsidRPr="00190837">
        <w:rPr>
          <w:rFonts w:ascii="Trebuchet MS" w:hAnsi="Trebuchet MS" w:cs="Arial"/>
          <w:color w:val="5F5F5F"/>
          <w:sz w:val="20"/>
          <w:szCs w:val="20"/>
        </w:rPr>
        <w:t>5</w:t>
      </w:r>
      <w:r w:rsidRPr="00190837">
        <w:rPr>
          <w:rFonts w:ascii="Trebuchet MS" w:hAnsi="Trebuchet MS" w:cs="Arial"/>
          <w:color w:val="5F5F5F"/>
          <w:sz w:val="20"/>
          <w:szCs w:val="20"/>
        </w:rPr>
        <w:t>,</w:t>
      </w:r>
      <w:r w:rsidR="00836DAB" w:rsidRPr="00190837">
        <w:rPr>
          <w:rFonts w:ascii="Trebuchet MS" w:hAnsi="Trebuchet MS" w:cs="Arial"/>
          <w:color w:val="5F5F5F"/>
          <w:sz w:val="20"/>
          <w:szCs w:val="20"/>
        </w:rPr>
        <w:t>7</w:t>
      </w:r>
      <w:r w:rsidRPr="00190837">
        <w:rPr>
          <w:rFonts w:ascii="Trebuchet MS" w:hAnsi="Trebuchet MS" w:cs="Arial"/>
          <w:color w:val="5F5F5F"/>
          <w:sz w:val="20"/>
          <w:szCs w:val="20"/>
        </w:rPr>
        <w:t xml:space="preserve"> anni contro i 45,2 dell’Italia</w:t>
      </w:r>
      <w:r w:rsidR="000531BF" w:rsidRPr="00190837">
        <w:rPr>
          <w:rFonts w:ascii="Trebuchet MS" w:hAnsi="Trebuchet MS" w:cs="Arial"/>
          <w:color w:val="5F5F5F"/>
          <w:sz w:val="20"/>
          <w:szCs w:val="20"/>
        </w:rPr>
        <w:t>. I</w:t>
      </w:r>
      <w:r w:rsidR="00283393">
        <w:rPr>
          <w:rFonts w:ascii="Trebuchet MS" w:hAnsi="Trebuchet MS" w:cs="Arial"/>
          <w:color w:val="5F5F5F"/>
          <w:sz w:val="20"/>
          <w:szCs w:val="20"/>
        </w:rPr>
        <w:t>l confronto con i dati del C</w:t>
      </w:r>
      <w:r w:rsidRPr="00190837">
        <w:rPr>
          <w:rFonts w:ascii="Trebuchet MS" w:hAnsi="Trebuchet MS" w:cs="Arial"/>
          <w:color w:val="5F5F5F"/>
          <w:sz w:val="20"/>
          <w:szCs w:val="20"/>
        </w:rPr>
        <w:t xml:space="preserve">ensimento 2011 evidenzia un progressivo invecchiamento della popolazione, con ritmi superiori alla media nazionale. Tutte le classi di età sotto i 50 anni vedono diminuire il proprio peso relativo rispetto al </w:t>
      </w:r>
      <w:r w:rsidR="006B534D" w:rsidRPr="00190837">
        <w:rPr>
          <w:rFonts w:ascii="Trebuchet MS" w:hAnsi="Trebuchet MS" w:cs="Arial"/>
          <w:color w:val="5F5F5F"/>
          <w:sz w:val="20"/>
          <w:szCs w:val="20"/>
        </w:rPr>
        <w:t>2011.</w:t>
      </w:r>
    </w:p>
    <w:p w:rsidR="006B60EC" w:rsidRPr="00190837" w:rsidRDefault="006B60EC" w:rsidP="00AE3F83">
      <w:pPr>
        <w:pStyle w:val="Paragrafoelenco"/>
        <w:widowControl w:val="0"/>
        <w:numPr>
          <w:ilvl w:val="0"/>
          <w:numId w:val="15"/>
        </w:numPr>
        <w:overflowPunct w:val="0"/>
        <w:autoSpaceDE w:val="0"/>
        <w:autoSpaceDN w:val="0"/>
        <w:adjustRightInd w:val="0"/>
        <w:spacing w:before="60" w:after="120" w:line="240" w:lineRule="auto"/>
        <w:ind w:left="357" w:hanging="357"/>
        <w:contextualSpacing w:val="0"/>
        <w:jc w:val="both"/>
        <w:rPr>
          <w:rFonts w:ascii="Trebuchet MS" w:hAnsi="Trebuchet MS" w:cs="Arial"/>
          <w:color w:val="5F5F5F"/>
          <w:sz w:val="20"/>
          <w:szCs w:val="20"/>
        </w:rPr>
      </w:pPr>
      <w:r w:rsidRPr="00190837">
        <w:rPr>
          <w:rFonts w:ascii="Trebuchet MS" w:hAnsi="Trebuchet MS" w:cs="Arial"/>
          <w:color w:val="5F5F5F"/>
          <w:sz w:val="20"/>
          <w:szCs w:val="20"/>
        </w:rPr>
        <w:lastRenderedPageBreak/>
        <w:t xml:space="preserve">Il comune più giovane è </w:t>
      </w:r>
      <w:r w:rsidR="00836DAB" w:rsidRPr="00190837">
        <w:rPr>
          <w:rFonts w:ascii="Trebuchet MS" w:hAnsi="Trebuchet MS" w:cs="Arial"/>
          <w:color w:val="5F5F5F"/>
          <w:sz w:val="20"/>
          <w:szCs w:val="20"/>
        </w:rPr>
        <w:t>Marsicovetere</w:t>
      </w:r>
      <w:r w:rsidRPr="00190837">
        <w:rPr>
          <w:rFonts w:ascii="Trebuchet MS" w:hAnsi="Trebuchet MS" w:cs="Arial"/>
          <w:color w:val="5F5F5F"/>
          <w:sz w:val="20"/>
          <w:szCs w:val="20"/>
        </w:rPr>
        <w:t xml:space="preserve">, in provincia di </w:t>
      </w:r>
      <w:r w:rsidR="00836DAB" w:rsidRPr="00190837">
        <w:rPr>
          <w:rFonts w:ascii="Trebuchet MS" w:hAnsi="Trebuchet MS" w:cs="Arial"/>
          <w:color w:val="5F5F5F"/>
          <w:sz w:val="20"/>
          <w:szCs w:val="20"/>
        </w:rPr>
        <w:t>Potenza</w:t>
      </w:r>
      <w:r w:rsidRPr="00190837">
        <w:rPr>
          <w:rFonts w:ascii="Trebuchet MS" w:hAnsi="Trebuchet MS" w:cs="Arial"/>
          <w:color w:val="5F5F5F"/>
          <w:sz w:val="20"/>
          <w:szCs w:val="20"/>
        </w:rPr>
        <w:t xml:space="preserve">, con una età media di </w:t>
      </w:r>
      <w:r w:rsidR="00836DAB" w:rsidRPr="00190837">
        <w:rPr>
          <w:rFonts w:ascii="Trebuchet MS" w:hAnsi="Trebuchet MS" w:cs="Arial"/>
          <w:color w:val="5F5F5F"/>
          <w:sz w:val="20"/>
          <w:szCs w:val="20"/>
        </w:rPr>
        <w:t>41</w:t>
      </w:r>
      <w:r w:rsidR="005352EE">
        <w:rPr>
          <w:rFonts w:ascii="Trebuchet MS" w:hAnsi="Trebuchet MS" w:cs="Arial"/>
          <w:color w:val="5F5F5F"/>
          <w:sz w:val="20"/>
          <w:szCs w:val="20"/>
        </w:rPr>
        <w:t>,</w:t>
      </w:r>
      <w:r w:rsidR="00836DAB" w:rsidRPr="00190837">
        <w:rPr>
          <w:rFonts w:ascii="Trebuchet MS" w:hAnsi="Trebuchet MS" w:cs="Arial"/>
          <w:color w:val="5F5F5F"/>
          <w:sz w:val="20"/>
          <w:szCs w:val="20"/>
        </w:rPr>
        <w:t>8</w:t>
      </w:r>
      <w:r w:rsidRPr="00190837">
        <w:rPr>
          <w:rFonts w:ascii="Trebuchet MS" w:hAnsi="Trebuchet MS" w:cs="Arial"/>
          <w:color w:val="5F5F5F"/>
          <w:sz w:val="20"/>
          <w:szCs w:val="20"/>
        </w:rPr>
        <w:t xml:space="preserve"> anni; quello più vecchio è </w:t>
      </w:r>
      <w:r w:rsidR="00836DAB" w:rsidRPr="00190837">
        <w:rPr>
          <w:rFonts w:ascii="Trebuchet MS" w:hAnsi="Trebuchet MS" w:cs="Arial"/>
          <w:color w:val="5F5F5F"/>
          <w:sz w:val="20"/>
          <w:szCs w:val="20"/>
        </w:rPr>
        <w:t>San Paolo Albanese</w:t>
      </w:r>
      <w:r w:rsidRPr="00190837">
        <w:rPr>
          <w:rFonts w:ascii="Trebuchet MS" w:hAnsi="Trebuchet MS" w:cs="Arial"/>
          <w:color w:val="5F5F5F"/>
          <w:sz w:val="20"/>
          <w:szCs w:val="20"/>
        </w:rPr>
        <w:t xml:space="preserve">, in provincia di </w:t>
      </w:r>
      <w:r w:rsidR="00836DAB" w:rsidRPr="00190837">
        <w:rPr>
          <w:rFonts w:ascii="Trebuchet MS" w:hAnsi="Trebuchet MS" w:cs="Arial"/>
          <w:color w:val="5F5F5F"/>
          <w:sz w:val="20"/>
          <w:szCs w:val="20"/>
        </w:rPr>
        <w:t>Potenza</w:t>
      </w:r>
      <w:r w:rsidRPr="00190837">
        <w:rPr>
          <w:rFonts w:ascii="Trebuchet MS" w:hAnsi="Trebuchet MS" w:cs="Arial"/>
          <w:color w:val="5F5F5F"/>
          <w:sz w:val="20"/>
          <w:szCs w:val="20"/>
        </w:rPr>
        <w:t xml:space="preserve">, dove l’età media </w:t>
      </w:r>
      <w:r w:rsidR="00DA0423" w:rsidRPr="00190837">
        <w:rPr>
          <w:rFonts w:ascii="Trebuchet MS" w:hAnsi="Trebuchet MS" w:cs="Arial"/>
          <w:color w:val="5F5F5F"/>
          <w:sz w:val="20"/>
          <w:szCs w:val="20"/>
        </w:rPr>
        <w:t xml:space="preserve">è </w:t>
      </w:r>
      <w:r w:rsidRPr="00190837">
        <w:rPr>
          <w:rFonts w:ascii="Trebuchet MS" w:hAnsi="Trebuchet MS" w:cs="Arial"/>
          <w:color w:val="5F5F5F"/>
          <w:sz w:val="20"/>
          <w:szCs w:val="20"/>
        </w:rPr>
        <w:t xml:space="preserve">pari a </w:t>
      </w:r>
      <w:r w:rsidR="00836DAB" w:rsidRPr="00190837">
        <w:rPr>
          <w:rFonts w:ascii="Trebuchet MS" w:hAnsi="Trebuchet MS" w:cs="Arial"/>
          <w:color w:val="5F5F5F"/>
          <w:sz w:val="20"/>
          <w:szCs w:val="20"/>
        </w:rPr>
        <w:t>58,0</w:t>
      </w:r>
      <w:r w:rsidRPr="00190837">
        <w:rPr>
          <w:rFonts w:ascii="Trebuchet MS" w:hAnsi="Trebuchet MS" w:cs="Arial"/>
          <w:color w:val="5F5F5F"/>
          <w:sz w:val="20"/>
          <w:szCs w:val="20"/>
        </w:rPr>
        <w:t xml:space="preserve"> anni.</w:t>
      </w:r>
    </w:p>
    <w:p w:rsidR="006B60EC" w:rsidRPr="00190837" w:rsidRDefault="006B60EC" w:rsidP="00AE3F83">
      <w:pPr>
        <w:pStyle w:val="Paragrafoelenco"/>
        <w:widowControl w:val="0"/>
        <w:numPr>
          <w:ilvl w:val="0"/>
          <w:numId w:val="15"/>
        </w:numPr>
        <w:overflowPunct w:val="0"/>
        <w:autoSpaceDE w:val="0"/>
        <w:autoSpaceDN w:val="0"/>
        <w:adjustRightInd w:val="0"/>
        <w:spacing w:before="60" w:after="120" w:line="240" w:lineRule="auto"/>
        <w:ind w:left="357" w:hanging="357"/>
        <w:contextualSpacing w:val="0"/>
        <w:jc w:val="both"/>
        <w:rPr>
          <w:rFonts w:ascii="Trebuchet MS" w:hAnsi="Trebuchet MS" w:cs="Arial"/>
          <w:color w:val="5F5F5F"/>
          <w:sz w:val="20"/>
          <w:szCs w:val="20"/>
        </w:rPr>
      </w:pPr>
      <w:r w:rsidRPr="00190837">
        <w:rPr>
          <w:rFonts w:ascii="Trebuchet MS" w:hAnsi="Trebuchet MS" w:cs="Arial"/>
          <w:color w:val="5F5F5F"/>
          <w:sz w:val="20"/>
          <w:szCs w:val="20"/>
        </w:rPr>
        <w:t xml:space="preserve">Nel periodo 2011-2019 la popolazione di cittadinanza straniera è aumentata del </w:t>
      </w:r>
      <w:r w:rsidR="00836DAB" w:rsidRPr="00190837">
        <w:rPr>
          <w:rFonts w:ascii="Trebuchet MS" w:hAnsi="Trebuchet MS" w:cs="Arial"/>
          <w:color w:val="5F5F5F"/>
          <w:sz w:val="20"/>
          <w:szCs w:val="20"/>
        </w:rPr>
        <w:t>7,2</w:t>
      </w:r>
      <w:r w:rsidR="00DA0423" w:rsidRPr="00190837">
        <w:rPr>
          <w:rFonts w:ascii="Trebuchet MS" w:hAnsi="Trebuchet MS" w:cs="Arial"/>
          <w:color w:val="5F5F5F"/>
          <w:sz w:val="20"/>
          <w:szCs w:val="20"/>
        </w:rPr>
        <w:t>%</w:t>
      </w:r>
      <w:r w:rsidRPr="00190837">
        <w:rPr>
          <w:rFonts w:ascii="Trebuchet MS" w:hAnsi="Trebuchet MS" w:cs="Arial"/>
          <w:color w:val="5F5F5F"/>
          <w:sz w:val="20"/>
          <w:szCs w:val="20"/>
        </w:rPr>
        <w:t xml:space="preserve"> in media ogni anno. I cittadini stranieri risultano in crescita </w:t>
      </w:r>
      <w:r w:rsidR="00836DAB" w:rsidRPr="00190837">
        <w:rPr>
          <w:rFonts w:ascii="Trebuchet MS" w:hAnsi="Trebuchet MS" w:cs="Arial"/>
          <w:color w:val="5F5F5F"/>
          <w:sz w:val="20"/>
          <w:szCs w:val="20"/>
        </w:rPr>
        <w:t xml:space="preserve">sia </w:t>
      </w:r>
      <w:r w:rsidRPr="00190837">
        <w:rPr>
          <w:rFonts w:ascii="Trebuchet MS" w:hAnsi="Trebuchet MS" w:cs="Arial"/>
          <w:color w:val="5F5F5F"/>
          <w:sz w:val="20"/>
          <w:szCs w:val="20"/>
        </w:rPr>
        <w:t xml:space="preserve">a </w:t>
      </w:r>
      <w:r w:rsidR="00836DAB" w:rsidRPr="00190837">
        <w:rPr>
          <w:rFonts w:ascii="Trebuchet MS" w:hAnsi="Trebuchet MS" w:cs="Arial"/>
          <w:color w:val="5F5F5F"/>
          <w:sz w:val="20"/>
          <w:szCs w:val="20"/>
        </w:rPr>
        <w:t>Matera (+7,6%</w:t>
      </w:r>
      <w:r w:rsidRPr="00190837">
        <w:rPr>
          <w:rFonts w:ascii="Trebuchet MS" w:hAnsi="Trebuchet MS" w:cs="Arial"/>
          <w:color w:val="5F5F5F"/>
          <w:sz w:val="20"/>
          <w:szCs w:val="20"/>
        </w:rPr>
        <w:t xml:space="preserve"> in media</w:t>
      </w:r>
      <w:r w:rsidR="006B534D" w:rsidRPr="00190837">
        <w:rPr>
          <w:rFonts w:ascii="Trebuchet MS" w:hAnsi="Trebuchet MS" w:cs="Arial"/>
          <w:color w:val="5F5F5F"/>
          <w:sz w:val="20"/>
          <w:szCs w:val="20"/>
        </w:rPr>
        <w:t xml:space="preserve"> annua</w:t>
      </w:r>
      <w:r w:rsidRPr="00190837">
        <w:rPr>
          <w:rFonts w:ascii="Trebuchet MS" w:hAnsi="Trebuchet MS" w:cs="Arial"/>
          <w:color w:val="5F5F5F"/>
          <w:sz w:val="20"/>
          <w:szCs w:val="20"/>
        </w:rPr>
        <w:t xml:space="preserve">) </w:t>
      </w:r>
      <w:r w:rsidR="00836DAB" w:rsidRPr="00190837">
        <w:rPr>
          <w:rFonts w:ascii="Trebuchet MS" w:hAnsi="Trebuchet MS" w:cs="Arial"/>
          <w:color w:val="5F5F5F"/>
          <w:sz w:val="20"/>
          <w:szCs w:val="20"/>
        </w:rPr>
        <w:t>che a Potenza (+6,9%)</w:t>
      </w:r>
      <w:r w:rsidR="00DA0423" w:rsidRPr="00190837">
        <w:rPr>
          <w:rFonts w:ascii="Trebuchet MS" w:hAnsi="Trebuchet MS" w:cs="Arial"/>
          <w:color w:val="5F5F5F"/>
          <w:sz w:val="20"/>
          <w:szCs w:val="20"/>
        </w:rPr>
        <w:t>.</w:t>
      </w:r>
    </w:p>
    <w:p w:rsidR="006B60EC" w:rsidRPr="00022E0C" w:rsidRDefault="006B60EC" w:rsidP="003D1E6C">
      <w:pPr>
        <w:pStyle w:val="Paragrafoelenco"/>
        <w:numPr>
          <w:ilvl w:val="0"/>
          <w:numId w:val="15"/>
        </w:numPr>
        <w:spacing w:before="60" w:after="120" w:line="240" w:lineRule="auto"/>
        <w:contextualSpacing w:val="0"/>
        <w:jc w:val="both"/>
        <w:rPr>
          <w:rFonts w:ascii="Trebuchet MS" w:hAnsi="Trebuchet MS" w:cs="Arial"/>
          <w:color w:val="5F5F5F"/>
          <w:sz w:val="20"/>
          <w:szCs w:val="20"/>
        </w:rPr>
      </w:pPr>
      <w:r w:rsidRPr="00022E0C">
        <w:rPr>
          <w:rFonts w:ascii="Trebuchet MS" w:hAnsi="Trebuchet MS" w:cs="Arial"/>
          <w:color w:val="5F5F5F"/>
          <w:sz w:val="20"/>
          <w:szCs w:val="20"/>
        </w:rPr>
        <w:t xml:space="preserve">L’età media degli stranieri è più bassa di </w:t>
      </w:r>
      <w:r w:rsidR="00190837" w:rsidRPr="00022E0C">
        <w:rPr>
          <w:rFonts w:ascii="Trebuchet MS" w:hAnsi="Trebuchet MS" w:cs="Arial"/>
          <w:color w:val="5F5F5F"/>
          <w:sz w:val="20"/>
          <w:szCs w:val="20"/>
        </w:rPr>
        <w:t>12,3</w:t>
      </w:r>
      <w:r w:rsidRPr="00022E0C">
        <w:rPr>
          <w:rFonts w:ascii="Trebuchet MS" w:hAnsi="Trebuchet MS" w:cs="Arial"/>
          <w:color w:val="5F5F5F"/>
          <w:sz w:val="20"/>
          <w:szCs w:val="20"/>
        </w:rPr>
        <w:t xml:space="preserve"> anni rispetto a quella degli italiani (</w:t>
      </w:r>
      <w:r w:rsidR="00190837" w:rsidRPr="00022E0C">
        <w:rPr>
          <w:rFonts w:ascii="Trebuchet MS" w:hAnsi="Trebuchet MS" w:cs="Arial"/>
          <w:color w:val="5F5F5F"/>
          <w:sz w:val="20"/>
          <w:szCs w:val="20"/>
        </w:rPr>
        <w:t>33,9</w:t>
      </w:r>
      <w:r w:rsidRPr="00022E0C">
        <w:rPr>
          <w:rFonts w:ascii="Trebuchet MS" w:hAnsi="Trebuchet MS" w:cs="Arial"/>
          <w:color w:val="5F5F5F"/>
          <w:sz w:val="20"/>
          <w:szCs w:val="20"/>
        </w:rPr>
        <w:t xml:space="preserve"> anni contro 4</w:t>
      </w:r>
      <w:r w:rsidR="00190837" w:rsidRPr="00022E0C">
        <w:rPr>
          <w:rFonts w:ascii="Trebuchet MS" w:hAnsi="Trebuchet MS" w:cs="Arial"/>
          <w:color w:val="5F5F5F"/>
          <w:sz w:val="20"/>
          <w:szCs w:val="20"/>
        </w:rPr>
        <w:t>6,2</w:t>
      </w:r>
      <w:r w:rsidRPr="00022E0C">
        <w:rPr>
          <w:rFonts w:ascii="Trebuchet MS" w:hAnsi="Trebuchet MS" w:cs="Arial"/>
          <w:color w:val="5F5F5F"/>
          <w:sz w:val="20"/>
          <w:szCs w:val="20"/>
        </w:rPr>
        <w:t xml:space="preserve"> nel 2019). Tra gli stranieri, </w:t>
      </w:r>
      <w:r w:rsidR="00B27048" w:rsidRPr="00022E0C">
        <w:rPr>
          <w:rFonts w:ascii="Trebuchet MS" w:hAnsi="Trebuchet MS" w:cs="Arial"/>
          <w:color w:val="5F5F5F"/>
          <w:sz w:val="20"/>
          <w:szCs w:val="20"/>
        </w:rPr>
        <w:t xml:space="preserve">l’indice di dipendenza, ovvero </w:t>
      </w:r>
      <w:r w:rsidR="00282F17" w:rsidRPr="00022E0C">
        <w:rPr>
          <w:rFonts w:ascii="Trebuchet MS" w:hAnsi="Trebuchet MS" w:cs="Arial"/>
          <w:color w:val="5F5F5F"/>
          <w:sz w:val="20"/>
          <w:szCs w:val="20"/>
        </w:rPr>
        <w:t xml:space="preserve">la quota di </w:t>
      </w:r>
      <w:r w:rsidRPr="00022E0C">
        <w:rPr>
          <w:rFonts w:ascii="Trebuchet MS" w:hAnsi="Trebuchet MS" w:cs="Arial"/>
          <w:color w:val="5F5F5F"/>
          <w:sz w:val="20"/>
          <w:szCs w:val="20"/>
        </w:rPr>
        <w:t xml:space="preserve">popolazione </w:t>
      </w:r>
      <w:r w:rsidR="00282F17" w:rsidRPr="00022E0C">
        <w:rPr>
          <w:rFonts w:ascii="Trebuchet MS" w:hAnsi="Trebuchet MS" w:cs="Arial"/>
          <w:color w:val="5F5F5F"/>
          <w:sz w:val="20"/>
          <w:szCs w:val="20"/>
        </w:rPr>
        <w:t xml:space="preserve">in età </w:t>
      </w:r>
      <w:r w:rsidR="00326CEE" w:rsidRPr="00022E0C">
        <w:rPr>
          <w:rFonts w:ascii="Trebuchet MS" w:hAnsi="Trebuchet MS" w:cs="Arial"/>
          <w:color w:val="5F5F5F"/>
          <w:sz w:val="20"/>
          <w:szCs w:val="20"/>
        </w:rPr>
        <w:t>non lavorativa</w:t>
      </w:r>
      <w:r w:rsidR="00282F17" w:rsidRPr="00022E0C">
        <w:rPr>
          <w:rFonts w:ascii="Trebuchet MS" w:hAnsi="Trebuchet MS" w:cs="Arial"/>
          <w:color w:val="5F5F5F"/>
          <w:sz w:val="20"/>
          <w:szCs w:val="20"/>
        </w:rPr>
        <w:t xml:space="preserve"> (</w:t>
      </w:r>
      <w:r w:rsidRPr="00022E0C">
        <w:rPr>
          <w:rFonts w:ascii="Trebuchet MS" w:hAnsi="Trebuchet MS" w:cs="Arial"/>
          <w:color w:val="5F5F5F"/>
          <w:sz w:val="20"/>
          <w:szCs w:val="20"/>
        </w:rPr>
        <w:t>con meno di 15 anni o con 65 anni e più</w:t>
      </w:r>
      <w:r w:rsidR="00282F17" w:rsidRPr="00022E0C">
        <w:rPr>
          <w:rFonts w:ascii="Trebuchet MS" w:hAnsi="Trebuchet MS" w:cs="Arial"/>
          <w:color w:val="5F5F5F"/>
          <w:sz w:val="20"/>
          <w:szCs w:val="20"/>
        </w:rPr>
        <w:t>)</w:t>
      </w:r>
      <w:r w:rsidR="00B27048" w:rsidRPr="00022E0C">
        <w:rPr>
          <w:rFonts w:ascii="Trebuchet MS" w:hAnsi="Trebuchet MS" w:cs="Arial"/>
          <w:color w:val="5F5F5F"/>
          <w:sz w:val="20"/>
          <w:szCs w:val="20"/>
        </w:rPr>
        <w:t xml:space="preserve">rispetto alle </w:t>
      </w:r>
      <w:r w:rsidRPr="00022E0C">
        <w:rPr>
          <w:rFonts w:ascii="Trebuchet MS" w:hAnsi="Trebuchet MS" w:cs="Arial"/>
          <w:color w:val="5F5F5F"/>
          <w:sz w:val="20"/>
          <w:szCs w:val="20"/>
        </w:rPr>
        <w:t>persone in età da lavoro (15-64 anni)</w:t>
      </w:r>
      <w:r w:rsidR="00B27048" w:rsidRPr="00022E0C">
        <w:rPr>
          <w:rFonts w:ascii="Trebuchet MS" w:hAnsi="Trebuchet MS" w:cs="Arial"/>
          <w:color w:val="5F5F5F"/>
          <w:sz w:val="20"/>
          <w:szCs w:val="20"/>
        </w:rPr>
        <w:t xml:space="preserve"> è pari al </w:t>
      </w:r>
      <w:r w:rsidR="00122B58" w:rsidRPr="00022E0C">
        <w:rPr>
          <w:rFonts w:ascii="Trebuchet MS" w:hAnsi="Trebuchet MS" w:cs="Arial"/>
          <w:color w:val="5F5F5F"/>
          <w:sz w:val="20"/>
          <w:szCs w:val="20"/>
        </w:rPr>
        <w:t>22,4</w:t>
      </w:r>
      <w:r w:rsidR="00B27048" w:rsidRPr="00022E0C">
        <w:rPr>
          <w:rFonts w:ascii="Trebuchet MS" w:hAnsi="Trebuchet MS" w:cs="Arial"/>
          <w:color w:val="5F5F5F"/>
          <w:sz w:val="20"/>
          <w:szCs w:val="20"/>
        </w:rPr>
        <w:t>%</w:t>
      </w:r>
      <w:r w:rsidR="003061E1">
        <w:rPr>
          <w:rFonts w:ascii="Trebuchet MS" w:hAnsi="Trebuchet MS" w:cs="Arial"/>
          <w:color w:val="5F5F5F"/>
          <w:sz w:val="20"/>
          <w:szCs w:val="20"/>
        </w:rPr>
        <w:t xml:space="preserve"> mentre</w:t>
      </w:r>
      <w:r w:rsidR="00B27048" w:rsidRPr="00022E0C">
        <w:rPr>
          <w:rFonts w:ascii="Trebuchet MS" w:hAnsi="Trebuchet MS" w:cs="Arial"/>
          <w:color w:val="5F5F5F"/>
          <w:sz w:val="20"/>
          <w:szCs w:val="20"/>
        </w:rPr>
        <w:t xml:space="preserve"> tra gli italiani è </w:t>
      </w:r>
      <w:r w:rsidR="00AE3F83" w:rsidRPr="00022E0C">
        <w:rPr>
          <w:rFonts w:ascii="Trebuchet MS" w:hAnsi="Trebuchet MS" w:cs="Arial"/>
          <w:color w:val="5F5F5F"/>
          <w:sz w:val="20"/>
          <w:szCs w:val="20"/>
        </w:rPr>
        <w:t>i</w:t>
      </w:r>
      <w:r w:rsidR="00B27048" w:rsidRPr="00022E0C">
        <w:rPr>
          <w:rFonts w:ascii="Trebuchet MS" w:hAnsi="Trebuchet MS" w:cs="Arial"/>
          <w:color w:val="5F5F5F"/>
          <w:sz w:val="20"/>
          <w:szCs w:val="20"/>
        </w:rPr>
        <w:t xml:space="preserve">l </w:t>
      </w:r>
      <w:r w:rsidR="00122B58" w:rsidRPr="00022E0C">
        <w:rPr>
          <w:rFonts w:ascii="Trebuchet MS" w:hAnsi="Trebuchet MS" w:cs="Arial"/>
          <w:color w:val="5F5F5F"/>
          <w:sz w:val="20"/>
          <w:szCs w:val="20"/>
        </w:rPr>
        <w:t>56</w:t>
      </w:r>
      <w:r w:rsidR="00B27048" w:rsidRPr="00022E0C">
        <w:rPr>
          <w:rFonts w:ascii="Trebuchet MS" w:hAnsi="Trebuchet MS" w:cs="Arial"/>
          <w:color w:val="5F5F5F"/>
          <w:sz w:val="20"/>
          <w:szCs w:val="20"/>
        </w:rPr>
        <w:t>,1%</w:t>
      </w:r>
      <w:r w:rsidR="006B534D" w:rsidRPr="00022E0C">
        <w:rPr>
          <w:rFonts w:ascii="Trebuchet MS" w:hAnsi="Trebuchet MS" w:cs="Arial"/>
          <w:color w:val="5F5F5F"/>
          <w:sz w:val="20"/>
          <w:szCs w:val="20"/>
        </w:rPr>
        <w:t xml:space="preserve">. </w:t>
      </w:r>
      <w:r w:rsidR="007B4FEB" w:rsidRPr="00022E0C">
        <w:rPr>
          <w:rFonts w:ascii="Trebuchet MS" w:hAnsi="Trebuchet MS" w:cs="Arial"/>
          <w:color w:val="5F5F5F"/>
          <w:sz w:val="20"/>
          <w:szCs w:val="20"/>
        </w:rPr>
        <w:t xml:space="preserve">Se ci si limita alla </w:t>
      </w:r>
      <w:r w:rsidR="00D5536E" w:rsidRPr="00022E0C">
        <w:rPr>
          <w:rFonts w:ascii="Trebuchet MS" w:hAnsi="Trebuchet MS" w:cs="Arial"/>
          <w:color w:val="5F5F5F"/>
          <w:sz w:val="20"/>
          <w:szCs w:val="20"/>
        </w:rPr>
        <w:t>componente</w:t>
      </w:r>
      <w:r w:rsidR="007B4FEB" w:rsidRPr="00022E0C">
        <w:rPr>
          <w:rFonts w:ascii="Trebuchet MS" w:hAnsi="Trebuchet MS" w:cs="Arial"/>
          <w:color w:val="5F5F5F"/>
          <w:sz w:val="20"/>
          <w:szCs w:val="20"/>
        </w:rPr>
        <w:t xml:space="preserve"> a carico in età 65 e più</w:t>
      </w:r>
      <w:r w:rsidR="00EC7A6D">
        <w:rPr>
          <w:rFonts w:ascii="Trebuchet MS" w:hAnsi="Trebuchet MS" w:cs="Arial"/>
          <w:color w:val="5F5F5F"/>
          <w:sz w:val="20"/>
          <w:szCs w:val="20"/>
        </w:rPr>
        <w:t>,</w:t>
      </w:r>
      <w:r w:rsidR="007B4FEB" w:rsidRPr="00022E0C">
        <w:rPr>
          <w:rFonts w:ascii="Trebuchet MS" w:hAnsi="Trebuchet MS" w:cs="Arial"/>
          <w:color w:val="5F5F5F"/>
          <w:sz w:val="20"/>
          <w:szCs w:val="20"/>
        </w:rPr>
        <w:t xml:space="preserve"> i precedenti valori sono, rispettivamente, </w:t>
      </w:r>
      <w:r w:rsidR="00122B58" w:rsidRPr="00022E0C">
        <w:rPr>
          <w:rFonts w:ascii="Trebuchet MS" w:hAnsi="Trebuchet MS" w:cs="Arial"/>
          <w:color w:val="5F5F5F"/>
          <w:sz w:val="20"/>
          <w:szCs w:val="20"/>
        </w:rPr>
        <w:t>4,3</w:t>
      </w:r>
      <w:r w:rsidR="007B4FEB" w:rsidRPr="00022E0C">
        <w:rPr>
          <w:rFonts w:ascii="Trebuchet MS" w:hAnsi="Trebuchet MS" w:cs="Arial"/>
          <w:color w:val="5F5F5F"/>
          <w:sz w:val="20"/>
          <w:szCs w:val="20"/>
        </w:rPr>
        <w:t xml:space="preserve">% e </w:t>
      </w:r>
      <w:r w:rsidR="00122B58" w:rsidRPr="00022E0C">
        <w:rPr>
          <w:rFonts w:ascii="Trebuchet MS" w:hAnsi="Trebuchet MS" w:cs="Arial"/>
          <w:color w:val="5F5F5F"/>
          <w:sz w:val="20"/>
          <w:szCs w:val="20"/>
        </w:rPr>
        <w:t>38,0</w:t>
      </w:r>
      <w:r w:rsidR="007B4FEB" w:rsidRPr="00022E0C">
        <w:rPr>
          <w:rFonts w:ascii="Trebuchet MS" w:hAnsi="Trebuchet MS" w:cs="Arial"/>
          <w:color w:val="5F5F5F"/>
          <w:sz w:val="20"/>
          <w:szCs w:val="20"/>
        </w:rPr>
        <w:t>%</w:t>
      </w:r>
      <w:r w:rsidR="006B534D" w:rsidRPr="00022E0C">
        <w:rPr>
          <w:rFonts w:ascii="Trebuchet MS" w:hAnsi="Trebuchet MS" w:cs="Arial"/>
          <w:color w:val="5F5F5F"/>
          <w:sz w:val="20"/>
          <w:szCs w:val="20"/>
        </w:rPr>
        <w:t xml:space="preserve">. </w:t>
      </w:r>
    </w:p>
    <w:p w:rsidR="006B60EC" w:rsidRPr="00022E0C" w:rsidRDefault="006B60EC" w:rsidP="000531BF">
      <w:pPr>
        <w:pStyle w:val="Paragrafoelenco"/>
        <w:numPr>
          <w:ilvl w:val="0"/>
          <w:numId w:val="15"/>
        </w:numPr>
        <w:spacing w:before="60" w:after="120" w:line="240" w:lineRule="auto"/>
        <w:contextualSpacing w:val="0"/>
        <w:jc w:val="both"/>
        <w:rPr>
          <w:rFonts w:ascii="Trebuchet MS" w:hAnsi="Trebuchet MS" w:cs="Arial"/>
          <w:color w:val="5F5F5F"/>
          <w:sz w:val="20"/>
          <w:szCs w:val="20"/>
        </w:rPr>
      </w:pPr>
      <w:r w:rsidRPr="00022E0C">
        <w:rPr>
          <w:rFonts w:ascii="Trebuchet MS" w:hAnsi="Trebuchet MS" w:cs="Arial"/>
          <w:color w:val="5F5F5F"/>
          <w:sz w:val="20"/>
          <w:szCs w:val="20"/>
        </w:rPr>
        <w:t>Anche la popolazione straniera è sottoposta a un processo di invecchiamento</w:t>
      </w:r>
      <w:r w:rsidR="00DA0423" w:rsidRPr="00022E0C">
        <w:rPr>
          <w:rFonts w:ascii="Trebuchet MS" w:hAnsi="Trebuchet MS" w:cs="Arial"/>
          <w:color w:val="5F5F5F"/>
          <w:sz w:val="20"/>
          <w:szCs w:val="20"/>
        </w:rPr>
        <w:t>,</w:t>
      </w:r>
      <w:r w:rsidRPr="00022E0C">
        <w:rPr>
          <w:rFonts w:ascii="Trebuchet MS" w:hAnsi="Trebuchet MS" w:cs="Arial"/>
          <w:color w:val="5F5F5F"/>
          <w:sz w:val="20"/>
          <w:szCs w:val="20"/>
        </w:rPr>
        <w:t xml:space="preserve"> con un aumento dell</w:t>
      </w:r>
      <w:r w:rsidR="00693D3B" w:rsidRPr="00022E0C">
        <w:rPr>
          <w:rFonts w:ascii="Trebuchet MS" w:hAnsi="Trebuchet MS" w:cs="Arial"/>
          <w:color w:val="5F5F5F"/>
          <w:sz w:val="20"/>
          <w:szCs w:val="20"/>
        </w:rPr>
        <w:t>a quota</w:t>
      </w:r>
      <w:r w:rsidR="00022E0C" w:rsidRPr="00022E0C">
        <w:rPr>
          <w:rFonts w:ascii="Trebuchet MS" w:hAnsi="Trebuchet MS" w:cs="Arial"/>
          <w:color w:val="5F5F5F"/>
          <w:sz w:val="20"/>
          <w:szCs w:val="20"/>
        </w:rPr>
        <w:t xml:space="preserve"> di</w:t>
      </w:r>
      <w:r w:rsidRPr="00022E0C">
        <w:rPr>
          <w:rFonts w:ascii="Trebuchet MS" w:hAnsi="Trebuchet MS" w:cs="Arial"/>
          <w:color w:val="5F5F5F"/>
          <w:sz w:val="20"/>
          <w:szCs w:val="20"/>
        </w:rPr>
        <w:t xml:space="preserve"> popolazione </w:t>
      </w:r>
      <w:r w:rsidR="00DA0423" w:rsidRPr="00022E0C">
        <w:rPr>
          <w:rFonts w:ascii="Trebuchet MS" w:hAnsi="Trebuchet MS" w:cs="Arial"/>
          <w:color w:val="5F5F5F"/>
          <w:sz w:val="20"/>
          <w:szCs w:val="20"/>
        </w:rPr>
        <w:t xml:space="preserve">di </w:t>
      </w:r>
      <w:r w:rsidRPr="00022E0C">
        <w:rPr>
          <w:rFonts w:ascii="Trebuchet MS" w:hAnsi="Trebuchet MS" w:cs="Arial"/>
          <w:color w:val="5F5F5F"/>
          <w:sz w:val="20"/>
          <w:szCs w:val="20"/>
        </w:rPr>
        <w:t>oltre 50 anni</w:t>
      </w:r>
      <w:r w:rsidR="00022E0C" w:rsidRPr="00022E0C">
        <w:rPr>
          <w:rFonts w:ascii="Trebuchet MS" w:hAnsi="Trebuchet MS" w:cs="Arial"/>
          <w:color w:val="5F5F5F"/>
          <w:sz w:val="20"/>
          <w:szCs w:val="20"/>
        </w:rPr>
        <w:t xml:space="preserve"> che sale dal 14,0% del 2011 al 18,9% del 2019.</w:t>
      </w:r>
    </w:p>
    <w:p w:rsidR="006B60EC" w:rsidRPr="003E4BC2" w:rsidRDefault="006B60EC" w:rsidP="000531BF">
      <w:pPr>
        <w:pStyle w:val="Paragrafoelenco"/>
        <w:widowControl w:val="0"/>
        <w:numPr>
          <w:ilvl w:val="0"/>
          <w:numId w:val="15"/>
        </w:numPr>
        <w:overflowPunct w:val="0"/>
        <w:autoSpaceDE w:val="0"/>
        <w:autoSpaceDN w:val="0"/>
        <w:adjustRightInd w:val="0"/>
        <w:spacing w:before="60" w:after="120" w:line="240" w:lineRule="auto"/>
        <w:contextualSpacing w:val="0"/>
        <w:jc w:val="both"/>
        <w:rPr>
          <w:rFonts w:ascii="Trebuchet MS" w:hAnsi="Trebuchet MS" w:cs="Arial"/>
          <w:color w:val="5F5F5F"/>
          <w:sz w:val="20"/>
          <w:szCs w:val="20"/>
        </w:rPr>
      </w:pPr>
      <w:r w:rsidRPr="003E4BC2">
        <w:rPr>
          <w:rFonts w:ascii="Trebuchet MS" w:hAnsi="Trebuchet MS" w:cs="Arial"/>
          <w:color w:val="5F5F5F"/>
          <w:sz w:val="20"/>
          <w:szCs w:val="20"/>
        </w:rPr>
        <w:t xml:space="preserve">Nel 2019, </w:t>
      </w:r>
      <w:r w:rsidR="003E4BC2" w:rsidRPr="003E4BC2">
        <w:rPr>
          <w:rFonts w:ascii="Trebuchet MS" w:hAnsi="Trebuchet MS" w:cs="Arial"/>
          <w:color w:val="5F5F5F"/>
          <w:sz w:val="20"/>
          <w:szCs w:val="20"/>
        </w:rPr>
        <w:t>oltre</w:t>
      </w:r>
      <w:r w:rsidRPr="003E4BC2">
        <w:rPr>
          <w:rFonts w:ascii="Trebuchet MS" w:hAnsi="Trebuchet MS" w:cs="Arial"/>
          <w:color w:val="5F5F5F"/>
          <w:sz w:val="20"/>
          <w:szCs w:val="20"/>
        </w:rPr>
        <w:t xml:space="preserve"> la metà (</w:t>
      </w:r>
      <w:r w:rsidR="003E4BC2" w:rsidRPr="003E4BC2">
        <w:rPr>
          <w:rFonts w:ascii="Trebuchet MS" w:hAnsi="Trebuchet MS" w:cs="Arial"/>
          <w:color w:val="5F5F5F"/>
          <w:sz w:val="20"/>
          <w:szCs w:val="20"/>
        </w:rPr>
        <w:t>59,1</w:t>
      </w:r>
      <w:r w:rsidRPr="003E4BC2">
        <w:rPr>
          <w:rFonts w:ascii="Trebuchet MS" w:hAnsi="Trebuchet MS" w:cs="Arial"/>
          <w:color w:val="5F5F5F"/>
          <w:sz w:val="20"/>
          <w:szCs w:val="20"/>
        </w:rPr>
        <w:t xml:space="preserve">%) degli stranieri residenti in </w:t>
      </w:r>
      <w:r w:rsidR="00427B53" w:rsidRPr="003E4BC2">
        <w:rPr>
          <w:rFonts w:ascii="Trebuchet MS" w:hAnsi="Trebuchet MS" w:cs="Arial"/>
          <w:color w:val="5F5F5F"/>
          <w:sz w:val="20"/>
          <w:szCs w:val="20"/>
        </w:rPr>
        <w:t>Basilicata</w:t>
      </w:r>
      <w:r w:rsidRPr="003E4BC2">
        <w:rPr>
          <w:rFonts w:ascii="Trebuchet MS" w:hAnsi="Trebuchet MS" w:cs="Arial"/>
          <w:color w:val="5F5F5F"/>
          <w:sz w:val="20"/>
          <w:szCs w:val="20"/>
        </w:rPr>
        <w:t xml:space="preserve"> proviene dall’Europa, il 2</w:t>
      </w:r>
      <w:r w:rsidR="003E4BC2" w:rsidRPr="003E4BC2">
        <w:rPr>
          <w:rFonts w:ascii="Trebuchet MS" w:hAnsi="Trebuchet MS" w:cs="Arial"/>
          <w:color w:val="5F5F5F"/>
          <w:sz w:val="20"/>
          <w:szCs w:val="20"/>
        </w:rPr>
        <w:t>4</w:t>
      </w:r>
      <w:r w:rsidRPr="003E4BC2">
        <w:rPr>
          <w:rFonts w:ascii="Trebuchet MS" w:hAnsi="Trebuchet MS" w:cs="Arial"/>
          <w:color w:val="5F5F5F"/>
          <w:sz w:val="20"/>
          <w:szCs w:val="20"/>
        </w:rPr>
        <w:t>,</w:t>
      </w:r>
      <w:r w:rsidR="003E4BC2" w:rsidRPr="003E4BC2">
        <w:rPr>
          <w:rFonts w:ascii="Trebuchet MS" w:hAnsi="Trebuchet MS" w:cs="Arial"/>
          <w:color w:val="5F5F5F"/>
          <w:sz w:val="20"/>
          <w:szCs w:val="20"/>
        </w:rPr>
        <w:t>2</w:t>
      </w:r>
      <w:r w:rsidRPr="003E4BC2">
        <w:rPr>
          <w:rFonts w:ascii="Trebuchet MS" w:hAnsi="Trebuchet MS" w:cs="Arial"/>
          <w:color w:val="5F5F5F"/>
          <w:sz w:val="20"/>
          <w:szCs w:val="20"/>
        </w:rPr>
        <w:t>% è originario di un paese africano mentre i cittadini di Asia e America rappresentano</w:t>
      </w:r>
      <w:r w:rsidR="006B534D" w:rsidRPr="003E4BC2">
        <w:rPr>
          <w:rFonts w:ascii="Trebuchet MS" w:hAnsi="Trebuchet MS" w:cs="Arial"/>
          <w:color w:val="5F5F5F"/>
          <w:sz w:val="20"/>
          <w:szCs w:val="20"/>
        </w:rPr>
        <w:t>,</w:t>
      </w:r>
      <w:r w:rsidRPr="003E4BC2">
        <w:rPr>
          <w:rFonts w:ascii="Trebuchet MS" w:hAnsi="Trebuchet MS" w:cs="Arial"/>
          <w:color w:val="5F5F5F"/>
          <w:sz w:val="20"/>
          <w:szCs w:val="20"/>
        </w:rPr>
        <w:t xml:space="preserve"> rispettivamente</w:t>
      </w:r>
      <w:r w:rsidR="006B534D" w:rsidRPr="003E4BC2">
        <w:rPr>
          <w:rFonts w:ascii="Trebuchet MS" w:hAnsi="Trebuchet MS" w:cs="Arial"/>
          <w:color w:val="5F5F5F"/>
          <w:sz w:val="20"/>
          <w:szCs w:val="20"/>
        </w:rPr>
        <w:t>,</w:t>
      </w:r>
      <w:r w:rsidRPr="003E4BC2">
        <w:rPr>
          <w:rFonts w:ascii="Trebuchet MS" w:hAnsi="Trebuchet MS" w:cs="Arial"/>
          <w:color w:val="5F5F5F"/>
          <w:sz w:val="20"/>
          <w:szCs w:val="20"/>
        </w:rPr>
        <w:t xml:space="preserve"> il </w:t>
      </w:r>
      <w:r w:rsidR="003E4BC2" w:rsidRPr="003E4BC2">
        <w:rPr>
          <w:rFonts w:ascii="Trebuchet MS" w:hAnsi="Trebuchet MS" w:cs="Arial"/>
          <w:color w:val="5F5F5F"/>
          <w:sz w:val="20"/>
          <w:szCs w:val="20"/>
        </w:rPr>
        <w:t>13,4</w:t>
      </w:r>
      <w:r w:rsidRPr="003E4BC2">
        <w:rPr>
          <w:rFonts w:ascii="Trebuchet MS" w:hAnsi="Trebuchet MS" w:cs="Arial"/>
          <w:color w:val="5F5F5F"/>
          <w:sz w:val="20"/>
          <w:szCs w:val="20"/>
        </w:rPr>
        <w:t xml:space="preserve">% e il </w:t>
      </w:r>
      <w:r w:rsidR="003E4BC2" w:rsidRPr="003E4BC2">
        <w:rPr>
          <w:rFonts w:ascii="Trebuchet MS" w:hAnsi="Trebuchet MS" w:cs="Arial"/>
          <w:color w:val="5F5F5F"/>
          <w:sz w:val="20"/>
          <w:szCs w:val="20"/>
        </w:rPr>
        <w:t>3,2</w:t>
      </w:r>
      <w:r w:rsidRPr="003E4BC2">
        <w:rPr>
          <w:rFonts w:ascii="Trebuchet MS" w:hAnsi="Trebuchet MS" w:cs="Arial"/>
          <w:color w:val="5F5F5F"/>
          <w:sz w:val="20"/>
          <w:szCs w:val="20"/>
        </w:rPr>
        <w:t xml:space="preserve">% del totale. I cittadini </w:t>
      </w:r>
      <w:r w:rsidR="003E4BC2" w:rsidRPr="003E4BC2">
        <w:rPr>
          <w:rFonts w:ascii="Trebuchet MS" w:hAnsi="Trebuchet MS" w:cs="Arial"/>
          <w:color w:val="5F5F5F"/>
          <w:sz w:val="20"/>
          <w:szCs w:val="20"/>
        </w:rPr>
        <w:t>rumeni</w:t>
      </w:r>
      <w:r w:rsidR="00DA0423" w:rsidRPr="003E4BC2">
        <w:rPr>
          <w:rFonts w:ascii="Trebuchet MS" w:hAnsi="Trebuchet MS" w:cs="Arial"/>
          <w:color w:val="5F5F5F"/>
          <w:sz w:val="20"/>
          <w:szCs w:val="20"/>
        </w:rPr>
        <w:t xml:space="preserve">sono </w:t>
      </w:r>
      <w:r w:rsidRPr="003E4BC2">
        <w:rPr>
          <w:rFonts w:ascii="Trebuchet MS" w:hAnsi="Trebuchet MS" w:cs="Arial"/>
          <w:color w:val="5F5F5F"/>
          <w:sz w:val="20"/>
          <w:szCs w:val="20"/>
        </w:rPr>
        <w:t xml:space="preserve">il </w:t>
      </w:r>
      <w:r w:rsidR="003E4BC2" w:rsidRPr="003E4BC2">
        <w:rPr>
          <w:rFonts w:ascii="Trebuchet MS" w:hAnsi="Trebuchet MS" w:cs="Arial"/>
          <w:color w:val="5F5F5F"/>
          <w:sz w:val="20"/>
          <w:szCs w:val="20"/>
        </w:rPr>
        <w:t>38,0</w:t>
      </w:r>
      <w:r w:rsidRPr="003E4BC2">
        <w:rPr>
          <w:rFonts w:ascii="Trebuchet MS" w:hAnsi="Trebuchet MS" w:cs="Arial"/>
          <w:color w:val="5F5F5F"/>
          <w:sz w:val="20"/>
          <w:szCs w:val="20"/>
        </w:rPr>
        <w:t xml:space="preserve">% del totale degli stranieri residenti e costituiscono la comunità straniera più numerosa, seguiti da </w:t>
      </w:r>
      <w:r w:rsidR="003E4BC2" w:rsidRPr="003E4BC2">
        <w:rPr>
          <w:rFonts w:ascii="Trebuchet MS" w:hAnsi="Trebuchet MS" w:cs="Arial"/>
          <w:color w:val="5F5F5F"/>
          <w:sz w:val="20"/>
          <w:szCs w:val="20"/>
        </w:rPr>
        <w:t>albanesi</w:t>
      </w:r>
      <w:r w:rsidRPr="003E4BC2">
        <w:rPr>
          <w:rFonts w:ascii="Trebuchet MS" w:hAnsi="Trebuchet MS" w:cs="Arial"/>
          <w:color w:val="5F5F5F"/>
          <w:sz w:val="20"/>
          <w:szCs w:val="20"/>
        </w:rPr>
        <w:t xml:space="preserve"> (</w:t>
      </w:r>
      <w:r w:rsidR="003E4BC2" w:rsidRPr="003E4BC2">
        <w:rPr>
          <w:rFonts w:ascii="Trebuchet MS" w:hAnsi="Trebuchet MS" w:cs="Arial"/>
          <w:color w:val="5F5F5F"/>
          <w:sz w:val="20"/>
          <w:szCs w:val="20"/>
        </w:rPr>
        <w:t>9,1</w:t>
      </w:r>
      <w:r w:rsidRPr="003E4BC2">
        <w:rPr>
          <w:rFonts w:ascii="Trebuchet MS" w:hAnsi="Trebuchet MS" w:cs="Arial"/>
          <w:color w:val="5F5F5F"/>
          <w:sz w:val="20"/>
          <w:szCs w:val="20"/>
        </w:rPr>
        <w:t>%) e marocchini (</w:t>
      </w:r>
      <w:r w:rsidR="003E4BC2" w:rsidRPr="003E4BC2">
        <w:rPr>
          <w:rFonts w:ascii="Trebuchet MS" w:hAnsi="Trebuchet MS" w:cs="Arial"/>
          <w:color w:val="5F5F5F"/>
          <w:sz w:val="20"/>
          <w:szCs w:val="20"/>
        </w:rPr>
        <w:t>7,7</w:t>
      </w:r>
      <w:r w:rsidRPr="003E4BC2">
        <w:rPr>
          <w:rFonts w:ascii="Trebuchet MS" w:hAnsi="Trebuchet MS" w:cs="Arial"/>
          <w:color w:val="5F5F5F"/>
          <w:sz w:val="20"/>
          <w:szCs w:val="20"/>
        </w:rPr>
        <w:t>%).</w:t>
      </w:r>
    </w:p>
    <w:p w:rsidR="006B60EC" w:rsidRPr="00416257" w:rsidRDefault="006B60EC" w:rsidP="000531BF">
      <w:pPr>
        <w:pStyle w:val="Paragrafoelenco"/>
        <w:widowControl w:val="0"/>
        <w:numPr>
          <w:ilvl w:val="0"/>
          <w:numId w:val="15"/>
        </w:numPr>
        <w:overflowPunct w:val="0"/>
        <w:autoSpaceDE w:val="0"/>
        <w:autoSpaceDN w:val="0"/>
        <w:adjustRightInd w:val="0"/>
        <w:spacing w:before="60" w:after="120" w:line="240" w:lineRule="auto"/>
        <w:contextualSpacing w:val="0"/>
        <w:jc w:val="both"/>
        <w:rPr>
          <w:rFonts w:ascii="Trebuchet MS" w:hAnsi="Trebuchet MS" w:cs="Arial"/>
          <w:color w:val="5F5F5F"/>
          <w:sz w:val="20"/>
          <w:szCs w:val="20"/>
        </w:rPr>
      </w:pPr>
      <w:r w:rsidRPr="00416257">
        <w:rPr>
          <w:rFonts w:ascii="Trebuchet MS" w:hAnsi="Trebuchet MS" w:cs="Arial"/>
          <w:color w:val="5F5F5F"/>
          <w:sz w:val="20"/>
          <w:szCs w:val="20"/>
        </w:rPr>
        <w:t xml:space="preserve">Il rapporto </w:t>
      </w:r>
      <w:r w:rsidR="00DA0423" w:rsidRPr="00416257">
        <w:rPr>
          <w:rFonts w:ascii="Trebuchet MS" w:hAnsi="Trebuchet MS" w:cs="Arial"/>
          <w:color w:val="5F5F5F"/>
          <w:sz w:val="20"/>
          <w:szCs w:val="20"/>
        </w:rPr>
        <w:t>di genere</w:t>
      </w:r>
      <w:r w:rsidRPr="00416257">
        <w:rPr>
          <w:rFonts w:ascii="Trebuchet MS" w:hAnsi="Trebuchet MS" w:cs="Arial"/>
          <w:color w:val="5F5F5F"/>
          <w:sz w:val="20"/>
          <w:szCs w:val="20"/>
        </w:rPr>
        <w:t xml:space="preserve"> nella popolazione straniera è eterogeneo rispetto alle varie provenienze. L’incidenza della popolazione femminile prevale tra coloro che provengono </w:t>
      </w:r>
      <w:r w:rsidR="00416257" w:rsidRPr="00416257">
        <w:rPr>
          <w:rFonts w:ascii="Trebuchet MS" w:hAnsi="Trebuchet MS" w:cs="Arial"/>
          <w:color w:val="5F5F5F"/>
          <w:sz w:val="20"/>
          <w:szCs w:val="20"/>
        </w:rPr>
        <w:t>da altri paesi europei</w:t>
      </w:r>
      <w:r w:rsidRPr="00416257">
        <w:rPr>
          <w:rFonts w:ascii="Trebuchet MS" w:hAnsi="Trebuchet MS" w:cs="Arial"/>
          <w:color w:val="5F5F5F"/>
          <w:sz w:val="20"/>
          <w:szCs w:val="20"/>
        </w:rPr>
        <w:t xml:space="preserve"> (</w:t>
      </w:r>
      <w:r w:rsidR="00416257">
        <w:rPr>
          <w:rFonts w:ascii="Trebuchet MS" w:hAnsi="Trebuchet MS" w:cs="Arial"/>
          <w:color w:val="5F5F5F"/>
          <w:sz w:val="20"/>
          <w:szCs w:val="20"/>
        </w:rPr>
        <w:t>66,7</w:t>
      </w:r>
      <w:r w:rsidRPr="00416257">
        <w:rPr>
          <w:rFonts w:ascii="Trebuchet MS" w:hAnsi="Trebuchet MS" w:cs="Arial"/>
          <w:color w:val="5F5F5F"/>
          <w:sz w:val="20"/>
          <w:szCs w:val="20"/>
        </w:rPr>
        <w:t xml:space="preserve">%) e </w:t>
      </w:r>
      <w:r w:rsidR="00DA0423" w:rsidRPr="00416257">
        <w:rPr>
          <w:rFonts w:ascii="Trebuchet MS" w:hAnsi="Trebuchet MS" w:cs="Arial"/>
          <w:color w:val="5F5F5F"/>
          <w:sz w:val="20"/>
          <w:szCs w:val="20"/>
        </w:rPr>
        <w:t xml:space="preserve">tra </w:t>
      </w:r>
      <w:r w:rsidR="000531BF" w:rsidRPr="00416257">
        <w:rPr>
          <w:rFonts w:ascii="Trebuchet MS" w:hAnsi="Trebuchet MS" w:cs="Arial"/>
          <w:color w:val="5F5F5F"/>
          <w:sz w:val="20"/>
          <w:szCs w:val="20"/>
        </w:rPr>
        <w:t>i</w:t>
      </w:r>
      <w:r w:rsidRPr="00416257">
        <w:rPr>
          <w:rFonts w:ascii="Trebuchet MS" w:hAnsi="Trebuchet MS" w:cs="Arial"/>
          <w:color w:val="5F5F5F"/>
          <w:sz w:val="20"/>
          <w:szCs w:val="20"/>
        </w:rPr>
        <w:t xml:space="preserve"> latinoamericani (</w:t>
      </w:r>
      <w:r w:rsidR="003E4BC2" w:rsidRPr="00416257">
        <w:rPr>
          <w:rFonts w:ascii="Trebuchet MS" w:hAnsi="Trebuchet MS" w:cs="Arial"/>
          <w:color w:val="5F5F5F"/>
          <w:sz w:val="20"/>
          <w:szCs w:val="20"/>
        </w:rPr>
        <w:t>73,6</w:t>
      </w:r>
      <w:r w:rsidRPr="00416257">
        <w:rPr>
          <w:rFonts w:ascii="Trebuchet MS" w:hAnsi="Trebuchet MS" w:cs="Arial"/>
          <w:color w:val="5F5F5F"/>
          <w:sz w:val="20"/>
          <w:szCs w:val="20"/>
        </w:rPr>
        <w:t>%).</w:t>
      </w:r>
    </w:p>
    <w:p w:rsidR="007B4FEB" w:rsidRPr="00157AB1" w:rsidRDefault="007B4FEB" w:rsidP="004F5935">
      <w:pPr>
        <w:pStyle w:val="Paragrafoelenco"/>
        <w:widowControl w:val="0"/>
        <w:numPr>
          <w:ilvl w:val="0"/>
          <w:numId w:val="15"/>
        </w:numPr>
        <w:overflowPunct w:val="0"/>
        <w:autoSpaceDE w:val="0"/>
        <w:autoSpaceDN w:val="0"/>
        <w:adjustRightInd w:val="0"/>
        <w:spacing w:before="60" w:after="120" w:line="240" w:lineRule="auto"/>
        <w:contextualSpacing w:val="0"/>
        <w:jc w:val="both"/>
        <w:rPr>
          <w:rFonts w:ascii="Trebuchet MS" w:hAnsi="Trebuchet MS" w:cs="Arial"/>
          <w:color w:val="5F5F5F"/>
          <w:sz w:val="20"/>
          <w:szCs w:val="20"/>
        </w:rPr>
      </w:pPr>
      <w:r w:rsidRPr="00157AB1">
        <w:rPr>
          <w:rFonts w:ascii="Trebuchet MS" w:hAnsi="Trebuchet MS" w:cs="Arial"/>
          <w:color w:val="5F5F5F"/>
          <w:sz w:val="20"/>
          <w:szCs w:val="20"/>
        </w:rPr>
        <w:t xml:space="preserve">Il </w:t>
      </w:r>
      <w:r w:rsidR="00416257" w:rsidRPr="00157AB1">
        <w:rPr>
          <w:rFonts w:ascii="Trebuchet MS" w:hAnsi="Trebuchet MS" w:cs="Arial"/>
          <w:color w:val="5F5F5F"/>
          <w:sz w:val="20"/>
          <w:szCs w:val="20"/>
        </w:rPr>
        <w:t>35,3</w:t>
      </w:r>
      <w:r w:rsidRPr="00157AB1">
        <w:rPr>
          <w:rFonts w:ascii="Trebuchet MS" w:hAnsi="Trebuchet MS" w:cs="Arial"/>
          <w:color w:val="5F5F5F"/>
          <w:sz w:val="20"/>
          <w:szCs w:val="20"/>
        </w:rPr>
        <w:t xml:space="preserve">% della popolazione con 9 anni </w:t>
      </w:r>
      <w:r w:rsidR="0080225A">
        <w:rPr>
          <w:rFonts w:ascii="Trebuchet MS" w:hAnsi="Trebuchet MS" w:cs="Arial"/>
          <w:color w:val="5F5F5F"/>
          <w:sz w:val="20"/>
          <w:szCs w:val="20"/>
        </w:rPr>
        <w:t>e</w:t>
      </w:r>
      <w:r w:rsidRPr="00157AB1">
        <w:rPr>
          <w:rFonts w:ascii="Trebuchet MS" w:hAnsi="Trebuchet MS" w:cs="Arial"/>
          <w:color w:val="5F5F5F"/>
          <w:sz w:val="20"/>
          <w:szCs w:val="20"/>
        </w:rPr>
        <w:t xml:space="preserve"> più ha un diploma di scuola secondaria di secondo grado o di qualifica professionale, il 16,</w:t>
      </w:r>
      <w:r w:rsidR="00416257" w:rsidRPr="00157AB1">
        <w:rPr>
          <w:rFonts w:ascii="Trebuchet MS" w:hAnsi="Trebuchet MS" w:cs="Arial"/>
          <w:color w:val="5F5F5F"/>
          <w:sz w:val="20"/>
          <w:szCs w:val="20"/>
        </w:rPr>
        <w:t>3</w:t>
      </w:r>
      <w:r w:rsidRPr="00157AB1">
        <w:rPr>
          <w:rFonts w:ascii="Trebuchet MS" w:hAnsi="Trebuchet MS" w:cs="Arial"/>
          <w:color w:val="5F5F5F"/>
          <w:sz w:val="20"/>
          <w:szCs w:val="20"/>
        </w:rPr>
        <w:t xml:space="preserve">% la licenza elementare e il </w:t>
      </w:r>
      <w:r w:rsidR="00416257" w:rsidRPr="00157AB1">
        <w:rPr>
          <w:rFonts w:ascii="Trebuchet MS" w:hAnsi="Trebuchet MS" w:cs="Arial"/>
          <w:color w:val="5F5F5F"/>
          <w:sz w:val="20"/>
          <w:szCs w:val="20"/>
        </w:rPr>
        <w:t>28,2</w:t>
      </w:r>
      <w:r w:rsidRPr="00157AB1">
        <w:rPr>
          <w:rFonts w:ascii="Trebuchet MS" w:hAnsi="Trebuchet MS" w:cs="Arial"/>
          <w:color w:val="5F5F5F"/>
          <w:sz w:val="20"/>
          <w:szCs w:val="20"/>
        </w:rPr>
        <w:t xml:space="preserve">% la licenza di scuola media. Le persone con un titolo terziario sono il </w:t>
      </w:r>
      <w:r w:rsidR="00416257" w:rsidRPr="00157AB1">
        <w:rPr>
          <w:rFonts w:ascii="Trebuchet MS" w:hAnsi="Trebuchet MS" w:cs="Arial"/>
          <w:color w:val="5F5F5F"/>
          <w:sz w:val="20"/>
          <w:szCs w:val="20"/>
        </w:rPr>
        <w:t>13,5</w:t>
      </w:r>
      <w:r w:rsidRPr="00157AB1">
        <w:rPr>
          <w:rFonts w:ascii="Trebuchet MS" w:hAnsi="Trebuchet MS" w:cs="Arial"/>
          <w:color w:val="5F5F5F"/>
          <w:sz w:val="20"/>
          <w:szCs w:val="20"/>
        </w:rPr>
        <w:t xml:space="preserve">%. </w:t>
      </w:r>
    </w:p>
    <w:p w:rsidR="006B60EC" w:rsidRPr="00157AB1" w:rsidRDefault="006B60EC" w:rsidP="006D5A26">
      <w:pPr>
        <w:pStyle w:val="Paragrafoelenco"/>
        <w:widowControl w:val="0"/>
        <w:numPr>
          <w:ilvl w:val="0"/>
          <w:numId w:val="15"/>
        </w:numPr>
        <w:overflowPunct w:val="0"/>
        <w:autoSpaceDE w:val="0"/>
        <w:autoSpaceDN w:val="0"/>
        <w:adjustRightInd w:val="0"/>
        <w:spacing w:before="60" w:after="120" w:line="240" w:lineRule="auto"/>
        <w:contextualSpacing w:val="0"/>
        <w:jc w:val="both"/>
        <w:rPr>
          <w:rFonts w:ascii="Trebuchet MS" w:hAnsi="Trebuchet MS" w:cs="Arial"/>
          <w:color w:val="5F5F5F"/>
          <w:sz w:val="20"/>
          <w:szCs w:val="20"/>
        </w:rPr>
      </w:pPr>
      <w:r w:rsidRPr="00157AB1">
        <w:rPr>
          <w:rFonts w:ascii="Trebuchet MS" w:hAnsi="Trebuchet MS" w:cs="Arial"/>
          <w:color w:val="5F5F5F"/>
          <w:sz w:val="20"/>
          <w:szCs w:val="20"/>
        </w:rPr>
        <w:t xml:space="preserve">Rispetto al 2011, </w:t>
      </w:r>
      <w:r w:rsidR="00606159" w:rsidRPr="00157AB1">
        <w:rPr>
          <w:rFonts w:ascii="Trebuchet MS" w:hAnsi="Trebuchet MS" w:cs="Arial"/>
          <w:color w:val="5F5F5F"/>
          <w:sz w:val="20"/>
          <w:szCs w:val="20"/>
        </w:rPr>
        <w:t xml:space="preserve">si </w:t>
      </w:r>
      <w:r w:rsidRPr="00157AB1">
        <w:rPr>
          <w:rFonts w:ascii="Trebuchet MS" w:hAnsi="Trebuchet MS" w:cs="Arial"/>
          <w:color w:val="5F5F5F"/>
          <w:sz w:val="20"/>
          <w:szCs w:val="20"/>
        </w:rPr>
        <w:t xml:space="preserve">dimezza la </w:t>
      </w:r>
      <w:r w:rsidR="00606159" w:rsidRPr="00157AB1">
        <w:rPr>
          <w:rFonts w:ascii="Trebuchet MS" w:hAnsi="Trebuchet MS" w:cs="Arial"/>
          <w:color w:val="5F5F5F"/>
          <w:sz w:val="20"/>
          <w:szCs w:val="20"/>
        </w:rPr>
        <w:t>quota</w:t>
      </w:r>
      <w:r w:rsidRPr="00157AB1">
        <w:rPr>
          <w:rFonts w:ascii="Trebuchet MS" w:hAnsi="Trebuchet MS" w:cs="Arial"/>
          <w:color w:val="5F5F5F"/>
          <w:sz w:val="20"/>
          <w:szCs w:val="20"/>
        </w:rPr>
        <w:t xml:space="preserve"> di analfabeti</w:t>
      </w:r>
      <w:r w:rsidR="00B27048" w:rsidRPr="00157AB1">
        <w:rPr>
          <w:rFonts w:ascii="Trebuchet MS" w:hAnsi="Trebuchet MS" w:cs="Arial"/>
          <w:color w:val="5F5F5F"/>
          <w:sz w:val="20"/>
          <w:szCs w:val="20"/>
        </w:rPr>
        <w:t xml:space="preserve"> (</w:t>
      </w:r>
      <w:r w:rsidR="00AE3F83" w:rsidRPr="00157AB1">
        <w:rPr>
          <w:rFonts w:ascii="Trebuchet MS" w:hAnsi="Trebuchet MS" w:cs="Arial"/>
          <w:color w:val="5F5F5F"/>
          <w:sz w:val="20"/>
          <w:szCs w:val="20"/>
        </w:rPr>
        <w:t>dal 2</w:t>
      </w:r>
      <w:r w:rsidR="00606159" w:rsidRPr="00157AB1">
        <w:rPr>
          <w:rFonts w:ascii="Trebuchet MS" w:hAnsi="Trebuchet MS" w:cs="Arial"/>
          <w:color w:val="5F5F5F"/>
          <w:sz w:val="20"/>
          <w:szCs w:val="20"/>
        </w:rPr>
        <w:t>,8</w:t>
      </w:r>
      <w:r w:rsidR="00AE3F83" w:rsidRPr="00157AB1">
        <w:rPr>
          <w:rFonts w:ascii="Trebuchet MS" w:hAnsi="Trebuchet MS" w:cs="Arial"/>
          <w:color w:val="5F5F5F"/>
          <w:sz w:val="20"/>
          <w:szCs w:val="20"/>
        </w:rPr>
        <w:t>% all’</w:t>
      </w:r>
      <w:r w:rsidR="00B27048" w:rsidRPr="00157AB1">
        <w:rPr>
          <w:rFonts w:ascii="Trebuchet MS" w:hAnsi="Trebuchet MS" w:cs="Arial"/>
          <w:color w:val="5F5F5F"/>
          <w:sz w:val="20"/>
          <w:szCs w:val="20"/>
        </w:rPr>
        <w:t>1,</w:t>
      </w:r>
      <w:r w:rsidR="00606159" w:rsidRPr="00157AB1">
        <w:rPr>
          <w:rFonts w:ascii="Trebuchet MS" w:hAnsi="Trebuchet MS" w:cs="Arial"/>
          <w:color w:val="5F5F5F"/>
          <w:sz w:val="20"/>
          <w:szCs w:val="20"/>
        </w:rPr>
        <w:t>4</w:t>
      </w:r>
      <w:r w:rsidR="00B27048" w:rsidRPr="00157AB1">
        <w:rPr>
          <w:rFonts w:ascii="Trebuchet MS" w:hAnsi="Trebuchet MS" w:cs="Arial"/>
          <w:color w:val="5F5F5F"/>
          <w:sz w:val="20"/>
          <w:szCs w:val="20"/>
        </w:rPr>
        <w:t>%)</w:t>
      </w:r>
      <w:r w:rsidRPr="00157AB1">
        <w:rPr>
          <w:rFonts w:ascii="Trebuchet MS" w:hAnsi="Trebuchet MS" w:cs="Arial"/>
          <w:color w:val="5F5F5F"/>
          <w:sz w:val="20"/>
          <w:szCs w:val="20"/>
        </w:rPr>
        <w:t xml:space="preserve"> e diminui</w:t>
      </w:r>
      <w:r w:rsidR="00606159" w:rsidRPr="00157AB1">
        <w:rPr>
          <w:rFonts w:ascii="Trebuchet MS" w:hAnsi="Trebuchet MS" w:cs="Arial"/>
          <w:color w:val="5F5F5F"/>
          <w:sz w:val="20"/>
          <w:szCs w:val="20"/>
        </w:rPr>
        <w:t>scono</w:t>
      </w:r>
      <w:r w:rsidRPr="00157AB1">
        <w:rPr>
          <w:rFonts w:ascii="Trebuchet MS" w:hAnsi="Trebuchet MS" w:cs="Arial"/>
          <w:color w:val="5F5F5F"/>
          <w:sz w:val="20"/>
          <w:szCs w:val="20"/>
        </w:rPr>
        <w:t xml:space="preserve"> gli alfabeti privi di titolo di studio</w:t>
      </w:r>
      <w:r w:rsidR="00B27048" w:rsidRPr="00157AB1">
        <w:rPr>
          <w:rFonts w:ascii="Trebuchet MS" w:hAnsi="Trebuchet MS" w:cs="Arial"/>
          <w:color w:val="5F5F5F"/>
          <w:sz w:val="20"/>
          <w:szCs w:val="20"/>
        </w:rPr>
        <w:t xml:space="preserve"> (dal 5,8% al 4,5%)</w:t>
      </w:r>
      <w:r w:rsidRPr="00157AB1">
        <w:rPr>
          <w:rFonts w:ascii="Trebuchet MS" w:hAnsi="Trebuchet MS" w:cs="Arial"/>
          <w:color w:val="5F5F5F"/>
          <w:sz w:val="20"/>
          <w:szCs w:val="20"/>
        </w:rPr>
        <w:t>. Le persone con un titolo universitario e superiore sono aumentate</w:t>
      </w:r>
      <w:r w:rsidR="00B27048" w:rsidRPr="00157AB1">
        <w:rPr>
          <w:rFonts w:ascii="Trebuchet MS" w:hAnsi="Trebuchet MS" w:cs="Arial"/>
          <w:color w:val="5F5F5F"/>
          <w:sz w:val="20"/>
          <w:szCs w:val="20"/>
        </w:rPr>
        <w:t xml:space="preserve"> dal 10,</w:t>
      </w:r>
      <w:r w:rsidR="00BF5B2B">
        <w:rPr>
          <w:rFonts w:ascii="Trebuchet MS" w:hAnsi="Trebuchet MS" w:cs="Arial"/>
          <w:color w:val="5F5F5F"/>
          <w:sz w:val="20"/>
          <w:szCs w:val="20"/>
        </w:rPr>
        <w:t>6</w:t>
      </w:r>
      <w:r w:rsidR="00B27048" w:rsidRPr="00157AB1">
        <w:rPr>
          <w:rFonts w:ascii="Trebuchet MS" w:hAnsi="Trebuchet MS" w:cs="Arial"/>
          <w:color w:val="5F5F5F"/>
          <w:sz w:val="20"/>
          <w:szCs w:val="20"/>
        </w:rPr>
        <w:t xml:space="preserve">% al </w:t>
      </w:r>
      <w:r w:rsidR="00BF5B2B">
        <w:rPr>
          <w:rFonts w:ascii="Trebuchet MS" w:hAnsi="Trebuchet MS" w:cs="Arial"/>
          <w:color w:val="5F5F5F"/>
          <w:sz w:val="20"/>
          <w:szCs w:val="20"/>
        </w:rPr>
        <w:t>13,5</w:t>
      </w:r>
      <w:r w:rsidR="00B27048" w:rsidRPr="00157AB1">
        <w:rPr>
          <w:rFonts w:ascii="Trebuchet MS" w:hAnsi="Trebuchet MS" w:cs="Arial"/>
          <w:color w:val="5F5F5F"/>
          <w:sz w:val="20"/>
          <w:szCs w:val="20"/>
        </w:rPr>
        <w:t>%</w:t>
      </w:r>
      <w:r w:rsidRPr="00157AB1">
        <w:rPr>
          <w:rFonts w:ascii="Trebuchet MS" w:hAnsi="Trebuchet MS" w:cs="Arial"/>
          <w:color w:val="5F5F5F"/>
          <w:sz w:val="20"/>
          <w:szCs w:val="20"/>
        </w:rPr>
        <w:t xml:space="preserve">.  </w:t>
      </w:r>
    </w:p>
    <w:p w:rsidR="000531BF" w:rsidRPr="00DE0D06" w:rsidRDefault="006B60EC" w:rsidP="000531BF">
      <w:pPr>
        <w:pStyle w:val="Paragrafoelenco"/>
        <w:widowControl w:val="0"/>
        <w:numPr>
          <w:ilvl w:val="0"/>
          <w:numId w:val="15"/>
        </w:numPr>
        <w:overflowPunct w:val="0"/>
        <w:autoSpaceDE w:val="0"/>
        <w:autoSpaceDN w:val="0"/>
        <w:adjustRightInd w:val="0"/>
        <w:spacing w:before="60" w:after="120" w:line="240" w:lineRule="auto"/>
        <w:contextualSpacing w:val="0"/>
        <w:jc w:val="both"/>
        <w:rPr>
          <w:rFonts w:ascii="Trebuchet MS" w:hAnsi="Trebuchet MS" w:cs="Arial"/>
          <w:color w:val="5F5F5F"/>
          <w:sz w:val="20"/>
          <w:szCs w:val="20"/>
        </w:rPr>
      </w:pPr>
      <w:r w:rsidRPr="00DE0D06">
        <w:rPr>
          <w:rFonts w:ascii="Trebuchet MS" w:hAnsi="Trebuchet MS" w:cs="Arial"/>
          <w:color w:val="5F5F5F"/>
          <w:sz w:val="20"/>
          <w:szCs w:val="20"/>
        </w:rPr>
        <w:t xml:space="preserve">Tra la popolazione residente di 15 anni e più le forze di lavoro sono </w:t>
      </w:r>
      <w:r w:rsidR="00157AB1" w:rsidRPr="00DE0D06">
        <w:rPr>
          <w:rFonts w:ascii="Trebuchet MS" w:hAnsi="Trebuchet MS" w:cs="Arial"/>
          <w:color w:val="5F5F5F"/>
          <w:sz w:val="20"/>
          <w:szCs w:val="20"/>
        </w:rPr>
        <w:t>243 mila</w:t>
      </w:r>
      <w:r w:rsidRPr="00DE0D06">
        <w:rPr>
          <w:rFonts w:ascii="Trebuchet MS" w:hAnsi="Trebuchet MS" w:cs="Arial"/>
          <w:color w:val="5F5F5F"/>
          <w:sz w:val="20"/>
          <w:szCs w:val="20"/>
        </w:rPr>
        <w:t xml:space="preserve">, </w:t>
      </w:r>
      <w:r w:rsidR="00157AB1" w:rsidRPr="00DE0D06">
        <w:rPr>
          <w:rFonts w:ascii="Trebuchet MS" w:hAnsi="Trebuchet MS" w:cs="Arial"/>
          <w:color w:val="5F5F5F"/>
          <w:sz w:val="20"/>
          <w:szCs w:val="20"/>
        </w:rPr>
        <w:t>5</w:t>
      </w:r>
      <w:r w:rsidRPr="00DE0D06">
        <w:rPr>
          <w:rFonts w:ascii="Trebuchet MS" w:hAnsi="Trebuchet MS" w:cs="Arial"/>
          <w:color w:val="5F5F5F"/>
          <w:sz w:val="20"/>
          <w:szCs w:val="20"/>
        </w:rPr>
        <w:t xml:space="preserve"> mila </w:t>
      </w:r>
      <w:r w:rsidR="00282F17" w:rsidRPr="00DE0D06">
        <w:rPr>
          <w:rFonts w:ascii="Trebuchet MS" w:hAnsi="Trebuchet MS" w:cs="Arial"/>
          <w:color w:val="5F5F5F"/>
          <w:sz w:val="20"/>
          <w:szCs w:val="20"/>
        </w:rPr>
        <w:t xml:space="preserve">in </w:t>
      </w:r>
      <w:r w:rsidRPr="00DE0D06">
        <w:rPr>
          <w:rFonts w:ascii="Trebuchet MS" w:hAnsi="Trebuchet MS" w:cs="Arial"/>
          <w:color w:val="5F5F5F"/>
          <w:sz w:val="20"/>
          <w:szCs w:val="20"/>
        </w:rPr>
        <w:t>più rispetto al 2011 (+</w:t>
      </w:r>
      <w:r w:rsidR="00157AB1" w:rsidRPr="00DE0D06">
        <w:rPr>
          <w:rFonts w:ascii="Trebuchet MS" w:hAnsi="Trebuchet MS" w:cs="Arial"/>
          <w:color w:val="5F5F5F"/>
          <w:sz w:val="20"/>
          <w:szCs w:val="20"/>
        </w:rPr>
        <w:t>2,1</w:t>
      </w:r>
      <w:r w:rsidRPr="00DE0D06">
        <w:rPr>
          <w:rFonts w:ascii="Trebuchet MS" w:hAnsi="Trebuchet MS" w:cs="Arial"/>
          <w:color w:val="5F5F5F"/>
          <w:sz w:val="20"/>
          <w:szCs w:val="20"/>
        </w:rPr>
        <w:t>%). L’incremento delle persone attive sul mercato del lavoro è dovuto alla crescita degli occupati (+</w:t>
      </w:r>
      <w:r w:rsidR="00157AB1" w:rsidRPr="00DE0D06">
        <w:rPr>
          <w:rFonts w:ascii="Trebuchet MS" w:hAnsi="Trebuchet MS" w:cs="Arial"/>
          <w:color w:val="5F5F5F"/>
          <w:sz w:val="20"/>
          <w:szCs w:val="20"/>
        </w:rPr>
        <w:t>2,3</w:t>
      </w:r>
      <w:r w:rsidRPr="00DE0D06">
        <w:rPr>
          <w:rFonts w:ascii="Trebuchet MS" w:hAnsi="Trebuchet MS" w:cs="Arial"/>
          <w:color w:val="5F5F5F"/>
          <w:sz w:val="20"/>
          <w:szCs w:val="20"/>
        </w:rPr>
        <w:t>%), soprattutto fra le donne (+</w:t>
      </w:r>
      <w:r w:rsidR="00157AB1" w:rsidRPr="00DE0D06">
        <w:rPr>
          <w:rFonts w:ascii="Trebuchet MS" w:hAnsi="Trebuchet MS" w:cs="Arial"/>
          <w:color w:val="5F5F5F"/>
          <w:sz w:val="20"/>
          <w:szCs w:val="20"/>
        </w:rPr>
        <w:t>5,8</w:t>
      </w:r>
      <w:r w:rsidRPr="00DE0D06">
        <w:rPr>
          <w:rFonts w:ascii="Trebuchet MS" w:hAnsi="Trebuchet MS" w:cs="Arial"/>
          <w:color w:val="5F5F5F"/>
          <w:sz w:val="20"/>
          <w:szCs w:val="20"/>
        </w:rPr>
        <w:t xml:space="preserve">%). </w:t>
      </w:r>
      <w:r w:rsidR="00157AB1" w:rsidRPr="00DE0D06">
        <w:rPr>
          <w:rFonts w:ascii="Trebuchet MS" w:hAnsi="Trebuchet MS" w:cs="Arial"/>
          <w:color w:val="5F5F5F"/>
          <w:sz w:val="20"/>
          <w:szCs w:val="20"/>
        </w:rPr>
        <w:t>Le</w:t>
      </w:r>
      <w:r w:rsidRPr="00DE0D06">
        <w:rPr>
          <w:rFonts w:ascii="Trebuchet MS" w:hAnsi="Trebuchet MS" w:cs="Arial"/>
          <w:color w:val="5F5F5F"/>
          <w:sz w:val="20"/>
          <w:szCs w:val="20"/>
        </w:rPr>
        <w:t xml:space="preserve"> persone in cerca di una occupazione sono 4</w:t>
      </w:r>
      <w:r w:rsidR="00157AB1" w:rsidRPr="00DE0D06">
        <w:rPr>
          <w:rFonts w:ascii="Trebuchet MS" w:hAnsi="Trebuchet MS" w:cs="Arial"/>
          <w:color w:val="5F5F5F"/>
          <w:sz w:val="20"/>
          <w:szCs w:val="20"/>
        </w:rPr>
        <w:t>1</w:t>
      </w:r>
      <w:r w:rsidRPr="00DE0D06">
        <w:rPr>
          <w:rFonts w:ascii="Trebuchet MS" w:hAnsi="Trebuchet MS" w:cs="Arial"/>
          <w:color w:val="5F5F5F"/>
          <w:sz w:val="20"/>
          <w:szCs w:val="20"/>
        </w:rPr>
        <w:t xml:space="preserve"> mila, </w:t>
      </w:r>
      <w:r w:rsidR="00157AB1" w:rsidRPr="00DE0D06">
        <w:rPr>
          <w:rFonts w:ascii="Trebuchet MS" w:hAnsi="Trebuchet MS" w:cs="Arial"/>
          <w:color w:val="5F5F5F"/>
          <w:sz w:val="20"/>
          <w:szCs w:val="20"/>
        </w:rPr>
        <w:t>con un aumento dello 0,9%</w:t>
      </w:r>
      <w:r w:rsidRPr="00DE0D06">
        <w:rPr>
          <w:rFonts w:ascii="Trebuchet MS" w:hAnsi="Trebuchet MS" w:cs="Arial"/>
          <w:color w:val="5F5F5F"/>
          <w:sz w:val="20"/>
          <w:szCs w:val="20"/>
        </w:rPr>
        <w:t xml:space="preserve"> rispetto al precedente censimento.</w:t>
      </w:r>
    </w:p>
    <w:p w:rsidR="000531BF" w:rsidRPr="00DE0D06" w:rsidRDefault="006B60EC" w:rsidP="000531BF">
      <w:pPr>
        <w:pStyle w:val="Paragrafoelenco"/>
        <w:widowControl w:val="0"/>
        <w:numPr>
          <w:ilvl w:val="0"/>
          <w:numId w:val="15"/>
        </w:numPr>
        <w:overflowPunct w:val="0"/>
        <w:autoSpaceDE w:val="0"/>
        <w:autoSpaceDN w:val="0"/>
        <w:adjustRightInd w:val="0"/>
        <w:spacing w:before="60" w:after="120" w:line="240" w:lineRule="auto"/>
        <w:contextualSpacing w:val="0"/>
        <w:jc w:val="both"/>
        <w:rPr>
          <w:rFonts w:ascii="Trebuchet MS" w:hAnsi="Trebuchet MS" w:cs="Arial"/>
          <w:color w:val="5F5F5F"/>
          <w:sz w:val="20"/>
          <w:szCs w:val="20"/>
        </w:rPr>
      </w:pPr>
      <w:r w:rsidRPr="00DE0D06">
        <w:rPr>
          <w:rFonts w:ascii="Trebuchet MS" w:hAnsi="Trebuchet MS" w:cs="Arial"/>
          <w:color w:val="5F5F5F"/>
          <w:sz w:val="20"/>
          <w:szCs w:val="20"/>
        </w:rPr>
        <w:t>Il tasso di attività</w:t>
      </w:r>
      <w:r w:rsidR="00157AB1" w:rsidRPr="00DE0D06">
        <w:rPr>
          <w:rStyle w:val="Rimandonotaapidipagina"/>
          <w:rFonts w:ascii="Trebuchet MS" w:hAnsi="Trebuchet MS" w:cs="Arial"/>
          <w:color w:val="5F5F5F"/>
          <w:sz w:val="20"/>
          <w:szCs w:val="20"/>
        </w:rPr>
        <w:footnoteReference w:id="2"/>
      </w:r>
      <w:r w:rsidRPr="00DE0D06">
        <w:rPr>
          <w:rFonts w:ascii="Trebuchet MS" w:hAnsi="Trebuchet MS" w:cs="Arial"/>
          <w:color w:val="5F5F5F"/>
          <w:sz w:val="20"/>
          <w:szCs w:val="20"/>
        </w:rPr>
        <w:t xml:space="preserve"> è pari al 4</w:t>
      </w:r>
      <w:r w:rsidR="00157AB1" w:rsidRPr="00DE0D06">
        <w:rPr>
          <w:rFonts w:ascii="Trebuchet MS" w:hAnsi="Trebuchet MS" w:cs="Arial"/>
          <w:color w:val="5F5F5F"/>
          <w:sz w:val="20"/>
          <w:szCs w:val="20"/>
        </w:rPr>
        <w:t>9</w:t>
      </w:r>
      <w:r w:rsidRPr="00DE0D06">
        <w:rPr>
          <w:rFonts w:ascii="Trebuchet MS" w:hAnsi="Trebuchet MS" w:cs="Arial"/>
          <w:color w:val="5F5F5F"/>
          <w:sz w:val="20"/>
          <w:szCs w:val="20"/>
        </w:rPr>
        <w:t>,</w:t>
      </w:r>
      <w:r w:rsidR="00157AB1" w:rsidRPr="00DE0D06">
        <w:rPr>
          <w:rFonts w:ascii="Trebuchet MS" w:hAnsi="Trebuchet MS" w:cs="Arial"/>
          <w:color w:val="5F5F5F"/>
          <w:sz w:val="20"/>
          <w:szCs w:val="20"/>
        </w:rPr>
        <w:t>8</w:t>
      </w:r>
      <w:r w:rsidRPr="00DE0D06">
        <w:rPr>
          <w:rFonts w:ascii="Trebuchet MS" w:hAnsi="Trebuchet MS" w:cs="Arial"/>
          <w:color w:val="5F5F5F"/>
          <w:sz w:val="20"/>
          <w:szCs w:val="20"/>
        </w:rPr>
        <w:t xml:space="preserve">%, </w:t>
      </w:r>
      <w:r w:rsidR="00157AB1" w:rsidRPr="00DE0D06">
        <w:rPr>
          <w:rFonts w:ascii="Trebuchet MS" w:hAnsi="Trebuchet MS" w:cs="Arial"/>
          <w:color w:val="5F5F5F"/>
          <w:sz w:val="20"/>
          <w:szCs w:val="20"/>
        </w:rPr>
        <w:t>2</w:t>
      </w:r>
      <w:r w:rsidR="0083183D" w:rsidRPr="00DE0D06">
        <w:rPr>
          <w:rFonts w:ascii="Trebuchet MS" w:hAnsi="Trebuchet MS" w:cs="Arial"/>
          <w:color w:val="5F5F5F"/>
          <w:sz w:val="20"/>
          <w:szCs w:val="20"/>
        </w:rPr>
        <w:t>,7</w:t>
      </w:r>
      <w:r w:rsidRPr="00DE0D06">
        <w:rPr>
          <w:rFonts w:ascii="Trebuchet MS" w:hAnsi="Trebuchet MS" w:cs="Arial"/>
          <w:color w:val="5F5F5F"/>
          <w:sz w:val="20"/>
          <w:szCs w:val="20"/>
        </w:rPr>
        <w:t xml:space="preserve"> punti percentuali so</w:t>
      </w:r>
      <w:r w:rsidR="0083183D" w:rsidRPr="00DE0D06">
        <w:rPr>
          <w:rFonts w:ascii="Trebuchet MS" w:hAnsi="Trebuchet MS" w:cs="Arial"/>
          <w:color w:val="5F5F5F"/>
          <w:sz w:val="20"/>
          <w:szCs w:val="20"/>
        </w:rPr>
        <w:t>ttoi</w:t>
      </w:r>
      <w:r w:rsidRPr="00DE0D06">
        <w:rPr>
          <w:rFonts w:ascii="Trebuchet MS" w:hAnsi="Trebuchet MS" w:cs="Arial"/>
          <w:color w:val="5F5F5F"/>
          <w:sz w:val="20"/>
          <w:szCs w:val="20"/>
        </w:rPr>
        <w:t xml:space="preserve">l corrispondente valore dell’Italia; gli occupati rappresentano il </w:t>
      </w:r>
      <w:r w:rsidR="0083183D" w:rsidRPr="00DE0D06">
        <w:rPr>
          <w:rFonts w:ascii="Trebuchet MS" w:hAnsi="Trebuchet MS" w:cs="Arial"/>
          <w:color w:val="5F5F5F"/>
          <w:sz w:val="20"/>
          <w:szCs w:val="20"/>
        </w:rPr>
        <w:t>41,4</w:t>
      </w:r>
      <w:r w:rsidRPr="00DE0D06">
        <w:rPr>
          <w:rFonts w:ascii="Trebuchet MS" w:hAnsi="Trebuchet MS" w:cs="Arial"/>
          <w:color w:val="5F5F5F"/>
          <w:sz w:val="20"/>
          <w:szCs w:val="20"/>
        </w:rPr>
        <w:t xml:space="preserve">% della popolazione di 15 anni e più contro il 45,6% della media nazionale. </w:t>
      </w:r>
      <w:r w:rsidR="00DE0D06" w:rsidRPr="00DE0D06">
        <w:rPr>
          <w:rFonts w:ascii="Trebuchet MS" w:hAnsi="Trebuchet MS" w:cs="Arial"/>
          <w:color w:val="5F5F5F"/>
          <w:sz w:val="20"/>
          <w:szCs w:val="20"/>
        </w:rPr>
        <w:t>I</w:t>
      </w:r>
      <w:r w:rsidRPr="00DE0D06">
        <w:rPr>
          <w:rFonts w:ascii="Trebuchet MS" w:hAnsi="Trebuchet MS" w:cs="Arial"/>
          <w:color w:val="5F5F5F"/>
          <w:sz w:val="20"/>
          <w:szCs w:val="20"/>
        </w:rPr>
        <w:t xml:space="preserve">l tasso di disoccupazione </w:t>
      </w:r>
      <w:r w:rsidR="00DE0D06" w:rsidRPr="00DE0D06">
        <w:rPr>
          <w:rFonts w:ascii="Trebuchet MS" w:hAnsi="Trebuchet MS" w:cs="Arial"/>
          <w:color w:val="5F5F5F"/>
          <w:sz w:val="20"/>
          <w:szCs w:val="20"/>
        </w:rPr>
        <w:t>nella regione (16,9</w:t>
      </w:r>
      <w:r w:rsidRPr="00DE0D06">
        <w:rPr>
          <w:rFonts w:ascii="Trebuchet MS" w:hAnsi="Trebuchet MS" w:cs="Arial"/>
          <w:color w:val="5F5F5F"/>
          <w:sz w:val="20"/>
          <w:szCs w:val="20"/>
        </w:rPr>
        <w:t>%</w:t>
      </w:r>
      <w:r w:rsidR="00DE0D06" w:rsidRPr="00DE0D06">
        <w:rPr>
          <w:rFonts w:ascii="Trebuchet MS" w:hAnsi="Trebuchet MS" w:cs="Arial"/>
          <w:color w:val="5F5F5F"/>
          <w:sz w:val="20"/>
          <w:szCs w:val="20"/>
        </w:rPr>
        <w:t>) supera di 3,7 punti la media nazionale (</w:t>
      </w:r>
      <w:r w:rsidRPr="00DE0D06">
        <w:rPr>
          <w:rFonts w:ascii="Trebuchet MS" w:hAnsi="Trebuchet MS" w:cs="Arial"/>
          <w:color w:val="5F5F5F"/>
          <w:sz w:val="20"/>
          <w:szCs w:val="20"/>
        </w:rPr>
        <w:t>13,1%</w:t>
      </w:r>
      <w:r w:rsidR="00DE0D06" w:rsidRPr="00DE0D06">
        <w:rPr>
          <w:rFonts w:ascii="Trebuchet MS" w:hAnsi="Trebuchet MS" w:cs="Arial"/>
          <w:color w:val="5F5F5F"/>
          <w:sz w:val="20"/>
          <w:szCs w:val="20"/>
        </w:rPr>
        <w:t>)</w:t>
      </w:r>
      <w:r w:rsidRPr="00DE0D06">
        <w:rPr>
          <w:rFonts w:ascii="Trebuchet MS" w:hAnsi="Trebuchet MS" w:cs="Arial"/>
          <w:color w:val="5F5F5F"/>
          <w:sz w:val="20"/>
          <w:szCs w:val="20"/>
        </w:rPr>
        <w:t>.</w:t>
      </w:r>
    </w:p>
    <w:p w:rsidR="006B60EC" w:rsidRPr="00DE0D06" w:rsidRDefault="006B60EC" w:rsidP="000531BF">
      <w:pPr>
        <w:pStyle w:val="Paragrafoelenco"/>
        <w:widowControl w:val="0"/>
        <w:numPr>
          <w:ilvl w:val="0"/>
          <w:numId w:val="15"/>
        </w:numPr>
        <w:overflowPunct w:val="0"/>
        <w:autoSpaceDE w:val="0"/>
        <w:autoSpaceDN w:val="0"/>
        <w:adjustRightInd w:val="0"/>
        <w:spacing w:before="60" w:after="120" w:line="240" w:lineRule="auto"/>
        <w:contextualSpacing w:val="0"/>
        <w:jc w:val="both"/>
        <w:rPr>
          <w:rFonts w:ascii="Trebuchet MS" w:hAnsi="Trebuchet MS" w:cs="Arial"/>
          <w:color w:val="5F5F5F"/>
          <w:sz w:val="20"/>
          <w:szCs w:val="20"/>
        </w:rPr>
      </w:pPr>
      <w:r w:rsidRPr="00DE0D06">
        <w:rPr>
          <w:rFonts w:ascii="Trebuchet MS" w:hAnsi="Trebuchet MS" w:cs="Arial"/>
          <w:color w:val="5F5F5F"/>
          <w:sz w:val="20"/>
          <w:szCs w:val="20"/>
        </w:rPr>
        <w:t xml:space="preserve">Il mercato del lavoro presenta un forte squilibro di genere. Il tasso di occupazione maschile è </w:t>
      </w:r>
      <w:r w:rsidR="008C2462" w:rsidRPr="00DE0D06">
        <w:rPr>
          <w:rFonts w:ascii="Trebuchet MS" w:hAnsi="Trebuchet MS" w:cs="Arial"/>
          <w:color w:val="5F5F5F"/>
          <w:sz w:val="20"/>
          <w:szCs w:val="20"/>
        </w:rPr>
        <w:t>a</w:t>
      </w:r>
      <w:r w:rsidRPr="00DE0D06">
        <w:rPr>
          <w:rFonts w:ascii="Trebuchet MS" w:hAnsi="Trebuchet MS" w:cs="Arial"/>
          <w:color w:val="5F5F5F"/>
          <w:sz w:val="20"/>
          <w:szCs w:val="20"/>
        </w:rPr>
        <w:t xml:space="preserve">l </w:t>
      </w:r>
      <w:r w:rsidR="00DE0D06" w:rsidRPr="00DE0D06">
        <w:rPr>
          <w:rFonts w:ascii="Trebuchet MS" w:hAnsi="Trebuchet MS" w:cs="Arial"/>
          <w:color w:val="5F5F5F"/>
          <w:sz w:val="20"/>
          <w:szCs w:val="20"/>
        </w:rPr>
        <w:t>51,4</w:t>
      </w:r>
      <w:r w:rsidRPr="00DE0D06">
        <w:rPr>
          <w:rFonts w:ascii="Trebuchet MS" w:hAnsi="Trebuchet MS" w:cs="Arial"/>
          <w:color w:val="5F5F5F"/>
          <w:sz w:val="20"/>
          <w:szCs w:val="20"/>
        </w:rPr>
        <w:t xml:space="preserve">%, </w:t>
      </w:r>
      <w:r w:rsidR="00DE0D06" w:rsidRPr="00DE0D06">
        <w:rPr>
          <w:rFonts w:ascii="Trebuchet MS" w:hAnsi="Trebuchet MS" w:cs="Arial"/>
          <w:color w:val="5F5F5F"/>
          <w:sz w:val="20"/>
          <w:szCs w:val="20"/>
        </w:rPr>
        <w:t>circa venti</w:t>
      </w:r>
      <w:r w:rsidRPr="00DE0D06">
        <w:rPr>
          <w:rFonts w:ascii="Trebuchet MS" w:hAnsi="Trebuchet MS" w:cs="Arial"/>
          <w:color w:val="5F5F5F"/>
          <w:sz w:val="20"/>
          <w:szCs w:val="20"/>
        </w:rPr>
        <w:t xml:space="preserve"> punti più di quello femminile; il tasso di disoccupazione è pari al </w:t>
      </w:r>
      <w:r w:rsidR="00DE0D06" w:rsidRPr="00DE0D06">
        <w:rPr>
          <w:rFonts w:ascii="Trebuchet MS" w:hAnsi="Trebuchet MS" w:cs="Arial"/>
          <w:color w:val="5F5F5F"/>
          <w:sz w:val="20"/>
          <w:szCs w:val="20"/>
        </w:rPr>
        <w:t>11,6</w:t>
      </w:r>
      <w:r w:rsidRPr="00DE0D06">
        <w:rPr>
          <w:rFonts w:ascii="Trebuchet MS" w:hAnsi="Trebuchet MS" w:cs="Arial"/>
          <w:color w:val="5F5F5F"/>
          <w:sz w:val="20"/>
          <w:szCs w:val="20"/>
        </w:rPr>
        <w:t xml:space="preserve">% </w:t>
      </w:r>
      <w:r w:rsidR="00DE0D06" w:rsidRPr="00DE0D06">
        <w:rPr>
          <w:rFonts w:ascii="Trebuchet MS" w:hAnsi="Trebuchet MS" w:cs="Arial"/>
          <w:color w:val="5F5F5F"/>
          <w:sz w:val="20"/>
          <w:szCs w:val="20"/>
        </w:rPr>
        <w:t xml:space="preserve">per gli uomini </w:t>
      </w:r>
      <w:r w:rsidRPr="00DE0D06">
        <w:rPr>
          <w:rFonts w:ascii="Trebuchet MS" w:hAnsi="Trebuchet MS" w:cs="Arial"/>
          <w:color w:val="5F5F5F"/>
          <w:sz w:val="20"/>
          <w:szCs w:val="20"/>
        </w:rPr>
        <w:t xml:space="preserve">e al </w:t>
      </w:r>
      <w:r w:rsidR="00DE0D06" w:rsidRPr="00DE0D06">
        <w:rPr>
          <w:rFonts w:ascii="Trebuchet MS" w:hAnsi="Trebuchet MS" w:cs="Arial"/>
          <w:color w:val="5F5F5F"/>
          <w:sz w:val="20"/>
          <w:szCs w:val="20"/>
        </w:rPr>
        <w:t>15,1</w:t>
      </w:r>
      <w:r w:rsidR="00C255FD">
        <w:rPr>
          <w:rFonts w:ascii="Trebuchet MS" w:hAnsi="Trebuchet MS" w:cs="Arial"/>
          <w:color w:val="5F5F5F"/>
          <w:sz w:val="20"/>
          <w:szCs w:val="20"/>
        </w:rPr>
        <w:t>%</w:t>
      </w:r>
      <w:r w:rsidRPr="00DE0D06">
        <w:rPr>
          <w:rFonts w:ascii="Trebuchet MS" w:hAnsi="Trebuchet MS" w:cs="Arial"/>
          <w:color w:val="5F5F5F"/>
          <w:sz w:val="20"/>
          <w:szCs w:val="20"/>
        </w:rPr>
        <w:t xml:space="preserve"> per </w:t>
      </w:r>
      <w:r w:rsidR="00DE0D06" w:rsidRPr="00DE0D06">
        <w:rPr>
          <w:rFonts w:ascii="Trebuchet MS" w:hAnsi="Trebuchet MS" w:cs="Arial"/>
          <w:color w:val="5F5F5F"/>
          <w:sz w:val="20"/>
          <w:szCs w:val="20"/>
        </w:rPr>
        <w:t>l</w:t>
      </w:r>
      <w:r w:rsidRPr="00DE0D06">
        <w:rPr>
          <w:rFonts w:ascii="Trebuchet MS" w:hAnsi="Trebuchet MS" w:cs="Arial"/>
          <w:color w:val="5F5F5F"/>
          <w:sz w:val="20"/>
          <w:szCs w:val="20"/>
        </w:rPr>
        <w:t xml:space="preserve">e </w:t>
      </w:r>
      <w:r w:rsidR="008C2462" w:rsidRPr="00DE0D06">
        <w:rPr>
          <w:rFonts w:ascii="Trebuchet MS" w:hAnsi="Trebuchet MS" w:cs="Arial"/>
          <w:color w:val="5F5F5F"/>
          <w:sz w:val="20"/>
          <w:szCs w:val="20"/>
        </w:rPr>
        <w:t>donne</w:t>
      </w:r>
      <w:r w:rsidRPr="00DE0D06">
        <w:rPr>
          <w:rFonts w:ascii="Trebuchet MS" w:hAnsi="Trebuchet MS" w:cs="Arial"/>
          <w:color w:val="5F5F5F"/>
          <w:sz w:val="20"/>
          <w:szCs w:val="20"/>
        </w:rPr>
        <w:t>.</w:t>
      </w:r>
    </w:p>
    <w:p w:rsidR="009C763E" w:rsidRPr="00B748A2" w:rsidRDefault="00F400E9" w:rsidP="005B5D9A">
      <w:pPr>
        <w:spacing w:before="720" w:after="120"/>
        <w:jc w:val="both"/>
        <w:rPr>
          <w:rFonts w:ascii="Trebuchet MS" w:hAnsi="Trebuchet MS" w:cs="Arial"/>
          <w:b/>
          <w:color w:val="5F5F5F"/>
          <w:kern w:val="28"/>
        </w:rPr>
      </w:pPr>
      <w:r w:rsidRPr="00B748A2">
        <w:rPr>
          <w:rFonts w:ascii="Trebuchet MS" w:hAnsi="Trebuchet MS" w:cs="Arial"/>
          <w:b/>
          <w:color w:val="5F5F5F"/>
          <w:kern w:val="28"/>
          <w:sz w:val="22"/>
          <w:szCs w:val="22"/>
        </w:rPr>
        <w:t>L</w:t>
      </w:r>
      <w:r w:rsidR="009C763E" w:rsidRPr="00B748A2">
        <w:rPr>
          <w:rFonts w:ascii="Trebuchet MS" w:hAnsi="Trebuchet MS" w:cs="Arial"/>
          <w:b/>
          <w:color w:val="5F5F5F"/>
          <w:kern w:val="28"/>
          <w:sz w:val="22"/>
          <w:szCs w:val="22"/>
        </w:rPr>
        <w:t>a popolazione residente al 2018 e 2019</w:t>
      </w:r>
    </w:p>
    <w:p w:rsidR="009C763E" w:rsidRPr="00AE3F83" w:rsidRDefault="009C763E" w:rsidP="00E072ED">
      <w:pPr>
        <w:spacing w:before="240" w:after="120"/>
        <w:jc w:val="both"/>
        <w:rPr>
          <w:rFonts w:ascii="Trebuchet MS" w:hAnsi="Trebuchet MS" w:cs="Arial"/>
          <w:b/>
          <w:color w:val="5F5F5F"/>
          <w:sz w:val="21"/>
          <w:szCs w:val="21"/>
        </w:rPr>
      </w:pPr>
      <w:r w:rsidRPr="00AE3F83">
        <w:rPr>
          <w:rFonts w:ascii="Trebuchet MS" w:hAnsi="Trebuchet MS" w:cs="Arial"/>
          <w:b/>
          <w:color w:val="5F5F5F"/>
          <w:sz w:val="21"/>
          <w:szCs w:val="21"/>
        </w:rPr>
        <w:t>Distribuzione territoriale e confronti con i censimenti passati</w:t>
      </w:r>
    </w:p>
    <w:p w:rsidR="001F51FE" w:rsidRPr="00CD6CF0" w:rsidRDefault="00BB3799" w:rsidP="00E072ED">
      <w:pPr>
        <w:spacing w:after="120"/>
        <w:jc w:val="both"/>
        <w:rPr>
          <w:rFonts w:ascii="Trebuchet MS" w:hAnsi="Trebuchet MS" w:cs="Arial"/>
          <w:color w:val="5F5F5F"/>
          <w:sz w:val="20"/>
          <w:szCs w:val="20"/>
        </w:rPr>
      </w:pPr>
      <w:r w:rsidRPr="00CD6CF0">
        <w:rPr>
          <w:rFonts w:ascii="Trebuchet MS" w:hAnsi="Trebuchet MS" w:cs="Arial"/>
          <w:color w:val="5F5F5F"/>
          <w:sz w:val="20"/>
          <w:szCs w:val="20"/>
        </w:rPr>
        <w:t>Al 31 dicembre 2018, data di riferimento del</w:t>
      </w:r>
      <w:r w:rsidR="004B45F6" w:rsidRPr="00CD6CF0">
        <w:rPr>
          <w:rFonts w:ascii="Trebuchet MS" w:hAnsi="Trebuchet MS" w:cs="Arial"/>
          <w:color w:val="5F5F5F"/>
          <w:sz w:val="20"/>
          <w:szCs w:val="20"/>
        </w:rPr>
        <w:t xml:space="preserve">la </w:t>
      </w:r>
      <w:r w:rsidRPr="00CD6CF0">
        <w:rPr>
          <w:rFonts w:ascii="Trebuchet MS" w:hAnsi="Trebuchet MS" w:cs="Arial"/>
          <w:color w:val="5F5F5F"/>
          <w:sz w:val="20"/>
          <w:szCs w:val="20"/>
        </w:rPr>
        <w:t>prim</w:t>
      </w:r>
      <w:r w:rsidR="004B45F6" w:rsidRPr="00CD6CF0">
        <w:rPr>
          <w:rFonts w:ascii="Trebuchet MS" w:hAnsi="Trebuchet MS" w:cs="Arial"/>
          <w:color w:val="5F5F5F"/>
          <w:sz w:val="20"/>
          <w:szCs w:val="20"/>
        </w:rPr>
        <w:t>a edizione del</w:t>
      </w:r>
      <w:r w:rsidRPr="00CD6CF0">
        <w:rPr>
          <w:rFonts w:ascii="Trebuchet MS" w:hAnsi="Trebuchet MS" w:cs="Arial"/>
          <w:color w:val="5F5F5F"/>
          <w:sz w:val="20"/>
          <w:szCs w:val="20"/>
        </w:rPr>
        <w:t xml:space="preserve"> Censimento permanente della popolazione, la popolazione censita in </w:t>
      </w:r>
      <w:r w:rsidR="00427B53" w:rsidRPr="00CD6CF0">
        <w:rPr>
          <w:rFonts w:ascii="Trebuchet MS" w:hAnsi="Trebuchet MS" w:cs="Arial"/>
          <w:color w:val="5F5F5F"/>
          <w:sz w:val="20"/>
          <w:szCs w:val="20"/>
        </w:rPr>
        <w:t>Basilicata</w:t>
      </w:r>
      <w:r w:rsidRPr="00CD6CF0">
        <w:rPr>
          <w:rFonts w:ascii="Trebuchet MS" w:hAnsi="Trebuchet MS" w:cs="Arial"/>
          <w:color w:val="5F5F5F"/>
          <w:sz w:val="20"/>
          <w:szCs w:val="20"/>
        </w:rPr>
        <w:t xml:space="preserve"> ammonta a </w:t>
      </w:r>
      <w:r w:rsidR="00F20430" w:rsidRPr="00CD6CF0">
        <w:rPr>
          <w:rFonts w:ascii="Trebuchet MS" w:hAnsi="Trebuchet MS" w:cs="Arial"/>
          <w:color w:val="5F5F5F"/>
          <w:sz w:val="20"/>
          <w:szCs w:val="20"/>
        </w:rPr>
        <w:t>558.587</w:t>
      </w:r>
      <w:r w:rsidR="008C7804" w:rsidRPr="00CD6CF0">
        <w:rPr>
          <w:rFonts w:ascii="Trebuchet MS" w:hAnsi="Trebuchet MS" w:cs="Arial"/>
          <w:color w:val="5F5F5F"/>
          <w:sz w:val="20"/>
          <w:szCs w:val="20"/>
        </w:rPr>
        <w:t>unità</w:t>
      </w:r>
      <w:r w:rsidRPr="00CD6CF0">
        <w:rPr>
          <w:rFonts w:ascii="Trebuchet MS" w:hAnsi="Trebuchet MS" w:cs="Arial"/>
          <w:color w:val="5F5F5F"/>
          <w:sz w:val="20"/>
          <w:szCs w:val="20"/>
        </w:rPr>
        <w:t>; un anno dopo</w:t>
      </w:r>
      <w:r w:rsidR="00C255FD">
        <w:rPr>
          <w:rFonts w:ascii="Trebuchet MS" w:hAnsi="Trebuchet MS" w:cs="Arial"/>
          <w:color w:val="5F5F5F"/>
          <w:sz w:val="20"/>
          <w:szCs w:val="20"/>
        </w:rPr>
        <w:t>,</w:t>
      </w:r>
      <w:r w:rsidRPr="00CD6CF0">
        <w:rPr>
          <w:rFonts w:ascii="Trebuchet MS" w:hAnsi="Trebuchet MS" w:cs="Arial"/>
          <w:color w:val="5F5F5F"/>
          <w:sz w:val="20"/>
          <w:szCs w:val="20"/>
        </w:rPr>
        <w:t xml:space="preserve"> il censimento ha rilevato nella regione </w:t>
      </w:r>
      <w:r w:rsidR="00F20430" w:rsidRPr="00CD6CF0">
        <w:rPr>
          <w:rFonts w:ascii="Trebuchet MS" w:hAnsi="Trebuchet MS" w:cs="Arial"/>
          <w:color w:val="5F5F5F"/>
          <w:sz w:val="20"/>
          <w:szCs w:val="20"/>
        </w:rPr>
        <w:t>553.254</w:t>
      </w:r>
      <w:r w:rsidRPr="00CD6CF0">
        <w:rPr>
          <w:rFonts w:ascii="Trebuchet MS" w:hAnsi="Trebuchet MS" w:cs="Arial"/>
          <w:color w:val="5F5F5F"/>
          <w:sz w:val="20"/>
          <w:szCs w:val="20"/>
        </w:rPr>
        <w:t>residenti</w:t>
      </w:r>
      <w:r w:rsidR="00D34DFE" w:rsidRPr="00CD6CF0">
        <w:rPr>
          <w:rFonts w:ascii="Trebuchet MS" w:hAnsi="Trebuchet MS" w:cs="Arial"/>
          <w:color w:val="5F5F5F"/>
          <w:sz w:val="20"/>
          <w:szCs w:val="20"/>
        </w:rPr>
        <w:t xml:space="preserve">. </w:t>
      </w:r>
      <w:r w:rsidR="00805601" w:rsidRPr="00CD6CF0">
        <w:rPr>
          <w:rFonts w:ascii="Trebuchet MS" w:hAnsi="Trebuchet MS" w:cs="Arial"/>
          <w:color w:val="5F5F5F"/>
          <w:sz w:val="20"/>
          <w:szCs w:val="20"/>
        </w:rPr>
        <w:t>Al</w:t>
      </w:r>
      <w:r w:rsidR="0087127D" w:rsidRPr="00CD6CF0">
        <w:rPr>
          <w:rFonts w:ascii="Trebuchet MS" w:hAnsi="Trebuchet MS" w:cs="Arial"/>
          <w:color w:val="5F5F5F"/>
          <w:sz w:val="20"/>
          <w:szCs w:val="20"/>
        </w:rPr>
        <w:t xml:space="preserve"> netto degli aggiustamenti statistici derivanti dalla nuova metodologia di calcolo</w:t>
      </w:r>
      <w:r w:rsidR="0087127D" w:rsidRPr="00CD6CF0">
        <w:rPr>
          <w:rStyle w:val="Rimandonotaapidipagina"/>
          <w:rFonts w:ascii="Trebuchet MS" w:hAnsi="Trebuchet MS" w:cs="Arial"/>
          <w:color w:val="5F5F5F"/>
          <w:sz w:val="20"/>
          <w:szCs w:val="20"/>
        </w:rPr>
        <w:footnoteReference w:id="3"/>
      </w:r>
      <w:r w:rsidR="0087127D" w:rsidRPr="00CD6CF0">
        <w:rPr>
          <w:rFonts w:ascii="Trebuchet MS" w:hAnsi="Trebuchet MS" w:cs="Arial"/>
          <w:color w:val="5F5F5F"/>
          <w:sz w:val="20"/>
          <w:szCs w:val="20"/>
        </w:rPr>
        <w:t xml:space="preserve">, </w:t>
      </w:r>
      <w:r w:rsidR="00805601" w:rsidRPr="00CD6CF0">
        <w:rPr>
          <w:rFonts w:ascii="Trebuchet MS" w:hAnsi="Trebuchet MS" w:cs="Arial"/>
          <w:color w:val="5F5F5F"/>
          <w:sz w:val="20"/>
          <w:szCs w:val="20"/>
        </w:rPr>
        <w:t>i dati censua</w:t>
      </w:r>
      <w:r w:rsidR="00A34B58" w:rsidRPr="00CD6CF0">
        <w:rPr>
          <w:rFonts w:ascii="Trebuchet MS" w:hAnsi="Trebuchet MS" w:cs="Arial"/>
          <w:color w:val="5F5F5F"/>
          <w:sz w:val="20"/>
          <w:szCs w:val="20"/>
        </w:rPr>
        <w:t>ri registrano</w:t>
      </w:r>
      <w:r w:rsidR="00BD2C75" w:rsidRPr="00CD6CF0">
        <w:rPr>
          <w:rFonts w:ascii="Trebuchet MS" w:hAnsi="Trebuchet MS" w:cs="Arial"/>
          <w:color w:val="5F5F5F"/>
          <w:sz w:val="20"/>
          <w:szCs w:val="20"/>
        </w:rPr>
        <w:t xml:space="preserve">, anche per la popolazione </w:t>
      </w:r>
      <w:r w:rsidR="00BF5B2B">
        <w:rPr>
          <w:rFonts w:ascii="Trebuchet MS" w:hAnsi="Trebuchet MS" w:cs="Arial"/>
          <w:color w:val="5F5F5F"/>
          <w:sz w:val="20"/>
          <w:szCs w:val="20"/>
        </w:rPr>
        <w:t>luc</w:t>
      </w:r>
      <w:r w:rsidR="00BD2C75" w:rsidRPr="00CD6CF0">
        <w:rPr>
          <w:rFonts w:ascii="Trebuchet MS" w:hAnsi="Trebuchet MS" w:cs="Arial"/>
          <w:color w:val="5F5F5F"/>
          <w:sz w:val="20"/>
          <w:szCs w:val="20"/>
        </w:rPr>
        <w:t>ana,</w:t>
      </w:r>
      <w:r w:rsidR="00A34B58" w:rsidRPr="00CD6CF0">
        <w:rPr>
          <w:rFonts w:ascii="Trebuchet MS" w:hAnsi="Trebuchet MS" w:cs="Arial"/>
          <w:color w:val="5F5F5F"/>
          <w:sz w:val="20"/>
          <w:szCs w:val="20"/>
        </w:rPr>
        <w:t xml:space="preserve"> la perdita</w:t>
      </w:r>
      <w:r w:rsidR="009719DD" w:rsidRPr="00CD6CF0">
        <w:rPr>
          <w:rFonts w:ascii="Trebuchet MS" w:hAnsi="Trebuchet MS" w:cs="Arial"/>
          <w:color w:val="5F5F5F"/>
          <w:sz w:val="20"/>
          <w:szCs w:val="20"/>
        </w:rPr>
        <w:t xml:space="preserve"> di</w:t>
      </w:r>
      <w:r w:rsidR="00D34DFE" w:rsidRPr="00CD6CF0">
        <w:rPr>
          <w:rFonts w:ascii="Trebuchet MS" w:hAnsi="Trebuchet MS" w:cs="Arial"/>
          <w:color w:val="5F5F5F"/>
          <w:sz w:val="20"/>
          <w:szCs w:val="20"/>
        </w:rPr>
        <w:t xml:space="preserve">capacità di crescita per effetto </w:t>
      </w:r>
      <w:r w:rsidR="00972351" w:rsidRPr="00CD6CF0">
        <w:rPr>
          <w:rFonts w:ascii="Trebuchet MS" w:hAnsi="Trebuchet MS" w:cs="Arial"/>
          <w:color w:val="5F5F5F"/>
          <w:sz w:val="20"/>
          <w:szCs w:val="20"/>
        </w:rPr>
        <w:t xml:space="preserve">della riduzione della </w:t>
      </w:r>
      <w:r w:rsidR="00A712C4" w:rsidRPr="00CD6CF0">
        <w:rPr>
          <w:rFonts w:ascii="Trebuchet MS" w:hAnsi="Trebuchet MS" w:cs="Arial"/>
          <w:color w:val="5F5F5F"/>
          <w:sz w:val="20"/>
          <w:szCs w:val="20"/>
        </w:rPr>
        <w:t>n</w:t>
      </w:r>
      <w:r w:rsidR="00972351" w:rsidRPr="00CD6CF0">
        <w:rPr>
          <w:rFonts w:ascii="Trebuchet MS" w:hAnsi="Trebuchet MS" w:cs="Arial"/>
          <w:color w:val="5F5F5F"/>
          <w:sz w:val="20"/>
          <w:szCs w:val="20"/>
        </w:rPr>
        <w:t>atalità.</w:t>
      </w:r>
    </w:p>
    <w:p w:rsidR="002D6303" w:rsidRPr="00CD6CF0" w:rsidRDefault="001F51FE" w:rsidP="00E072ED">
      <w:pPr>
        <w:spacing w:after="120"/>
        <w:jc w:val="both"/>
        <w:rPr>
          <w:rFonts w:ascii="Trebuchet MS" w:hAnsi="Trebuchet MS" w:cs="Arial"/>
          <w:color w:val="5F5F5F"/>
          <w:sz w:val="20"/>
          <w:szCs w:val="20"/>
        </w:rPr>
      </w:pPr>
      <w:r w:rsidRPr="00CD6CF0">
        <w:rPr>
          <w:rFonts w:ascii="Trebuchet MS" w:hAnsi="Trebuchet MS" w:cs="Arial"/>
          <w:color w:val="5F5F5F"/>
          <w:sz w:val="20"/>
          <w:szCs w:val="20"/>
        </w:rPr>
        <w:t>Negli</w:t>
      </w:r>
      <w:r w:rsidR="00D245E1" w:rsidRPr="00CD6CF0">
        <w:rPr>
          <w:rFonts w:ascii="Trebuchet MS" w:hAnsi="Trebuchet MS" w:cs="Arial"/>
          <w:color w:val="5F5F5F"/>
          <w:sz w:val="20"/>
          <w:szCs w:val="20"/>
        </w:rPr>
        <w:t xml:space="preserve"> ultimi 20 anni</w:t>
      </w:r>
      <w:r w:rsidR="00C255FD">
        <w:rPr>
          <w:rFonts w:ascii="Trebuchet MS" w:hAnsi="Trebuchet MS" w:cs="Arial"/>
          <w:color w:val="5F5F5F"/>
          <w:sz w:val="20"/>
          <w:szCs w:val="20"/>
        </w:rPr>
        <w:t>,</w:t>
      </w:r>
      <w:r w:rsidR="00C95A49" w:rsidRPr="00CD6CF0">
        <w:rPr>
          <w:rFonts w:ascii="Trebuchet MS" w:hAnsi="Trebuchet MS" w:cs="Arial"/>
          <w:color w:val="5F5F5F"/>
          <w:sz w:val="20"/>
          <w:szCs w:val="20"/>
        </w:rPr>
        <w:t xml:space="preserve"> infatti, al deficit del bilancio migratorio che ha sempre caratterizzato la dinamica demografica della Basilicata si è aggiunto, </w:t>
      </w:r>
      <w:r w:rsidR="006760CA" w:rsidRPr="00CD6CF0">
        <w:rPr>
          <w:rFonts w:ascii="Trebuchet MS" w:hAnsi="Trebuchet MS" w:cs="Arial"/>
          <w:color w:val="5F5F5F"/>
          <w:sz w:val="20"/>
          <w:szCs w:val="20"/>
        </w:rPr>
        <w:t xml:space="preserve">con intensità crescente, </w:t>
      </w:r>
      <w:r w:rsidR="00C95A49" w:rsidRPr="00CD6CF0">
        <w:rPr>
          <w:rFonts w:ascii="Trebuchet MS" w:hAnsi="Trebuchet MS" w:cs="Arial"/>
          <w:color w:val="5F5F5F"/>
          <w:sz w:val="20"/>
          <w:szCs w:val="20"/>
        </w:rPr>
        <w:t>quello del</w:t>
      </w:r>
      <w:r w:rsidR="00981201" w:rsidRPr="00CD6CF0">
        <w:rPr>
          <w:rFonts w:ascii="Trebuchet MS" w:hAnsi="Trebuchet MS" w:cs="Arial"/>
          <w:color w:val="5F5F5F"/>
          <w:sz w:val="20"/>
          <w:szCs w:val="20"/>
        </w:rPr>
        <w:t>bilancio naturale.</w:t>
      </w:r>
    </w:p>
    <w:p w:rsidR="005D6256" w:rsidRPr="003B71FA" w:rsidRDefault="00FC616E" w:rsidP="007C1CA8">
      <w:pPr>
        <w:spacing w:before="60" w:after="120"/>
        <w:jc w:val="both"/>
        <w:rPr>
          <w:rFonts w:ascii="Trebuchet MS" w:hAnsi="Trebuchet MS" w:cs="Arial"/>
          <w:color w:val="5F5F5F"/>
          <w:sz w:val="20"/>
          <w:szCs w:val="20"/>
        </w:rPr>
      </w:pPr>
      <w:r w:rsidRPr="00CD6CF0">
        <w:rPr>
          <w:rFonts w:ascii="Trebuchet MS" w:hAnsi="Trebuchet MS" w:cs="Arial"/>
          <w:color w:val="5F5F5F"/>
          <w:sz w:val="20"/>
          <w:szCs w:val="20"/>
        </w:rPr>
        <w:lastRenderedPageBreak/>
        <w:t>Tra il 1951 e il 1981</w:t>
      </w:r>
      <w:r w:rsidR="005D6256" w:rsidRPr="00CD6CF0">
        <w:rPr>
          <w:rFonts w:ascii="Trebuchet MS" w:hAnsi="Trebuchet MS" w:cs="Arial"/>
          <w:color w:val="5F5F5F"/>
          <w:sz w:val="20"/>
          <w:szCs w:val="20"/>
        </w:rPr>
        <w:t xml:space="preserve"> i residenti in </w:t>
      </w:r>
      <w:r w:rsidR="00427B53" w:rsidRPr="00CD6CF0">
        <w:rPr>
          <w:rFonts w:ascii="Trebuchet MS" w:hAnsi="Trebuchet MS" w:cs="Arial"/>
          <w:color w:val="5F5F5F"/>
          <w:sz w:val="20"/>
          <w:szCs w:val="20"/>
        </w:rPr>
        <w:t>Basilicata</w:t>
      </w:r>
      <w:r w:rsidR="005D6256" w:rsidRPr="00CD6CF0">
        <w:rPr>
          <w:rFonts w:ascii="Trebuchet MS" w:hAnsi="Trebuchet MS" w:cs="Arial"/>
          <w:color w:val="5F5F5F"/>
          <w:sz w:val="20"/>
          <w:szCs w:val="20"/>
        </w:rPr>
        <w:t xml:space="preserve"> sono </w:t>
      </w:r>
      <w:r w:rsidR="00D5536E" w:rsidRPr="00CD6CF0">
        <w:rPr>
          <w:rFonts w:ascii="Trebuchet MS" w:hAnsi="Trebuchet MS" w:cs="Arial"/>
          <w:color w:val="5F5F5F"/>
          <w:sz w:val="20"/>
          <w:szCs w:val="20"/>
        </w:rPr>
        <w:t>diminuiti</w:t>
      </w:r>
      <w:r w:rsidR="00012724" w:rsidRPr="00CD6CF0">
        <w:rPr>
          <w:rFonts w:ascii="Trebuchet MS" w:hAnsi="Trebuchet MS" w:cs="Arial"/>
          <w:color w:val="5F5F5F"/>
          <w:sz w:val="20"/>
          <w:szCs w:val="20"/>
        </w:rPr>
        <w:t xml:space="preserve">di </w:t>
      </w:r>
      <w:r w:rsidRPr="00CD6CF0">
        <w:rPr>
          <w:rFonts w:ascii="Trebuchet MS" w:hAnsi="Trebuchet MS" w:cs="Arial"/>
          <w:color w:val="5F5F5F"/>
          <w:sz w:val="20"/>
          <w:szCs w:val="20"/>
        </w:rPr>
        <w:t>17.400 unità</w:t>
      </w:r>
      <w:r w:rsidR="005D6256" w:rsidRPr="00CD6CF0">
        <w:rPr>
          <w:rFonts w:ascii="Trebuchet MS" w:hAnsi="Trebuchet MS" w:cs="Arial"/>
          <w:color w:val="5F5F5F"/>
          <w:sz w:val="20"/>
          <w:szCs w:val="20"/>
        </w:rPr>
        <w:t>, con un</w:t>
      </w:r>
      <w:r w:rsidR="003B0EEC" w:rsidRPr="00CD6CF0">
        <w:rPr>
          <w:rFonts w:ascii="Trebuchet MS" w:hAnsi="Trebuchet MS" w:cs="Arial"/>
          <w:color w:val="5F5F5F"/>
          <w:sz w:val="20"/>
          <w:szCs w:val="20"/>
        </w:rPr>
        <w:t>decremento</w:t>
      </w:r>
      <w:r w:rsidR="006C2060" w:rsidRPr="00CD6CF0">
        <w:rPr>
          <w:rFonts w:ascii="Trebuchet MS" w:hAnsi="Trebuchet MS" w:cs="Arial"/>
          <w:color w:val="5F5F5F"/>
          <w:sz w:val="20"/>
          <w:szCs w:val="20"/>
        </w:rPr>
        <w:t xml:space="preserve"> medi</w:t>
      </w:r>
      <w:r w:rsidR="003B0EEC" w:rsidRPr="00CD6CF0">
        <w:rPr>
          <w:rFonts w:ascii="Trebuchet MS" w:hAnsi="Trebuchet MS" w:cs="Arial"/>
          <w:color w:val="5F5F5F"/>
          <w:sz w:val="20"/>
          <w:szCs w:val="20"/>
        </w:rPr>
        <w:t>o</w:t>
      </w:r>
      <w:r w:rsidR="006C2060" w:rsidRPr="00CD6CF0">
        <w:rPr>
          <w:rFonts w:ascii="Trebuchet MS" w:hAnsi="Trebuchet MS" w:cs="Arial"/>
          <w:color w:val="5F5F5F"/>
          <w:sz w:val="20"/>
          <w:szCs w:val="20"/>
        </w:rPr>
        <w:t xml:space="preserve"> annu</w:t>
      </w:r>
      <w:r w:rsidR="003B0EEC" w:rsidRPr="00CD6CF0">
        <w:rPr>
          <w:rFonts w:ascii="Trebuchet MS" w:hAnsi="Trebuchet MS" w:cs="Arial"/>
          <w:color w:val="5F5F5F"/>
          <w:sz w:val="20"/>
          <w:szCs w:val="20"/>
        </w:rPr>
        <w:t>o</w:t>
      </w:r>
      <w:r w:rsidR="006C2060" w:rsidRPr="00CD6CF0">
        <w:rPr>
          <w:rFonts w:ascii="Trebuchet MS" w:hAnsi="Trebuchet MS" w:cs="Arial"/>
          <w:color w:val="5F5F5F"/>
          <w:sz w:val="20"/>
          <w:szCs w:val="20"/>
        </w:rPr>
        <w:t xml:space="preserve"> d</w:t>
      </w:r>
      <w:r w:rsidR="003B0EEC" w:rsidRPr="00CD6CF0">
        <w:rPr>
          <w:rFonts w:ascii="Trebuchet MS" w:hAnsi="Trebuchet MS" w:cs="Arial"/>
          <w:color w:val="5F5F5F"/>
          <w:sz w:val="20"/>
          <w:szCs w:val="20"/>
        </w:rPr>
        <w:t>ello</w:t>
      </w:r>
      <w:r w:rsidR="006C2060" w:rsidRPr="00CD6CF0">
        <w:rPr>
          <w:rFonts w:ascii="Trebuchet MS" w:hAnsi="Trebuchet MS" w:cs="Arial"/>
          <w:color w:val="5F5F5F"/>
          <w:sz w:val="20"/>
          <w:szCs w:val="20"/>
        </w:rPr>
        <w:t xml:space="preserve"> 0,9</w:t>
      </w:r>
      <w:r w:rsidR="003B0EEC" w:rsidRPr="00CD6CF0">
        <w:rPr>
          <w:rFonts w:ascii="Trebuchet MS" w:hAnsi="Trebuchet MS" w:cs="Arial"/>
          <w:color w:val="5F5F5F"/>
          <w:sz w:val="20"/>
          <w:szCs w:val="20"/>
        </w:rPr>
        <w:t>‰a fronte di un incremento</w:t>
      </w:r>
      <w:r w:rsidR="005D6256" w:rsidRPr="00CD6CF0">
        <w:rPr>
          <w:rFonts w:ascii="Trebuchet MS" w:hAnsi="Trebuchet MS" w:cs="Arial"/>
          <w:color w:val="5F5F5F"/>
          <w:sz w:val="20"/>
          <w:szCs w:val="20"/>
        </w:rPr>
        <w:t xml:space="preserve"> medio annuo </w:t>
      </w:r>
      <w:r w:rsidR="003B0EEC" w:rsidRPr="00CD6CF0">
        <w:rPr>
          <w:rFonts w:ascii="Trebuchet MS" w:hAnsi="Trebuchet MS" w:cs="Arial"/>
          <w:color w:val="5F5F5F"/>
          <w:sz w:val="20"/>
          <w:szCs w:val="20"/>
        </w:rPr>
        <w:t xml:space="preserve">del </w:t>
      </w:r>
      <w:r w:rsidR="005D6256" w:rsidRPr="00CD6CF0">
        <w:rPr>
          <w:rFonts w:ascii="Trebuchet MS" w:hAnsi="Trebuchet MS" w:cs="Arial"/>
          <w:color w:val="5F5F5F"/>
          <w:sz w:val="20"/>
          <w:szCs w:val="20"/>
        </w:rPr>
        <w:t>7,7‰</w:t>
      </w:r>
      <w:r w:rsidR="003B0EEC" w:rsidRPr="00CD6CF0">
        <w:rPr>
          <w:rFonts w:ascii="Trebuchet MS" w:hAnsi="Trebuchet MS" w:cs="Arial"/>
          <w:color w:val="5F5F5F"/>
          <w:sz w:val="20"/>
          <w:szCs w:val="20"/>
        </w:rPr>
        <w:t xml:space="preserve"> rilevato a livello nazionale</w:t>
      </w:r>
      <w:r w:rsidR="00012724" w:rsidRPr="00CD6CF0">
        <w:rPr>
          <w:rFonts w:ascii="Trebuchet MS" w:hAnsi="Trebuchet MS" w:cs="Arial"/>
          <w:color w:val="5F5F5F"/>
          <w:sz w:val="20"/>
          <w:szCs w:val="20"/>
        </w:rPr>
        <w:t>; n</w:t>
      </w:r>
      <w:r w:rsidR="005D6256" w:rsidRPr="00CD6CF0">
        <w:rPr>
          <w:rFonts w:ascii="Trebuchet MS" w:hAnsi="Trebuchet MS" w:cs="Arial"/>
          <w:color w:val="5F5F5F"/>
          <w:sz w:val="20"/>
          <w:szCs w:val="20"/>
        </w:rPr>
        <w:t>e</w:t>
      </w:r>
      <w:r w:rsidR="00012724" w:rsidRPr="00CD6CF0">
        <w:rPr>
          <w:rFonts w:ascii="Trebuchet MS" w:hAnsi="Trebuchet MS" w:cs="Arial"/>
          <w:color w:val="5F5F5F"/>
          <w:sz w:val="20"/>
          <w:szCs w:val="20"/>
        </w:rPr>
        <w:t>i</w:t>
      </w:r>
      <w:r w:rsidR="008C2462" w:rsidRPr="00CD6CF0">
        <w:rPr>
          <w:rFonts w:ascii="Trebuchet MS" w:hAnsi="Trebuchet MS" w:cs="Arial"/>
          <w:color w:val="5F5F5F"/>
          <w:sz w:val="20"/>
          <w:szCs w:val="20"/>
        </w:rPr>
        <w:t xml:space="preserve">trent’anni successivi </w:t>
      </w:r>
      <w:r w:rsidR="0061292D">
        <w:rPr>
          <w:rFonts w:ascii="Trebuchet MS" w:hAnsi="Trebuchet MS" w:cs="Arial"/>
          <w:color w:val="5F5F5F"/>
          <w:sz w:val="20"/>
          <w:szCs w:val="20"/>
        </w:rPr>
        <w:t xml:space="preserve">la regione </w:t>
      </w:r>
      <w:r w:rsidR="00012724" w:rsidRPr="00CD6CF0">
        <w:rPr>
          <w:rFonts w:ascii="Trebuchet MS" w:hAnsi="Trebuchet MS" w:cs="Arial"/>
          <w:color w:val="5F5F5F"/>
          <w:sz w:val="20"/>
          <w:szCs w:val="20"/>
        </w:rPr>
        <w:t xml:space="preserve">perde altri 32 mila </w:t>
      </w:r>
      <w:r w:rsidR="00BF5B2B">
        <w:rPr>
          <w:rFonts w:ascii="Trebuchet MS" w:hAnsi="Trebuchet MS" w:cs="Arial"/>
          <w:color w:val="5F5F5F"/>
          <w:sz w:val="20"/>
          <w:szCs w:val="20"/>
        </w:rPr>
        <w:t xml:space="preserve">residenti </w:t>
      </w:r>
      <w:r w:rsidR="00012724" w:rsidRPr="00CD6CF0">
        <w:rPr>
          <w:rFonts w:ascii="Trebuchet MS" w:hAnsi="Trebuchet MS" w:cs="Arial"/>
          <w:color w:val="5F5F5F"/>
          <w:sz w:val="20"/>
          <w:szCs w:val="20"/>
        </w:rPr>
        <w:t xml:space="preserve">(-1,8‰ in media annua, Italia +1,7‰). </w:t>
      </w:r>
      <w:r w:rsidR="00BF5B2B" w:rsidRPr="00BF5B2B">
        <w:rPr>
          <w:rFonts w:ascii="Trebuchet MS" w:hAnsi="Trebuchet MS" w:cs="Arial"/>
          <w:color w:val="5F5F5F"/>
          <w:sz w:val="20"/>
          <w:szCs w:val="20"/>
        </w:rPr>
        <w:t xml:space="preserve">Negli ultimi otto anni, a fronte della sostanziale stazionarietà della popolazione italiana (+0,4‰), </w:t>
      </w:r>
      <w:r w:rsidR="00D630C7">
        <w:rPr>
          <w:rFonts w:ascii="Trebuchet MS" w:hAnsi="Trebuchet MS" w:cs="Arial"/>
          <w:color w:val="5F5F5F"/>
          <w:sz w:val="20"/>
          <w:szCs w:val="20"/>
        </w:rPr>
        <w:t>la</w:t>
      </w:r>
      <w:r w:rsidR="00CD6CF0" w:rsidRPr="00CD6CF0">
        <w:rPr>
          <w:rFonts w:ascii="Trebuchet MS" w:hAnsi="Trebuchet MS" w:cs="Arial"/>
          <w:color w:val="5F5F5F"/>
          <w:sz w:val="20"/>
          <w:szCs w:val="20"/>
        </w:rPr>
        <w:t xml:space="preserve"> popolazione </w:t>
      </w:r>
      <w:r w:rsidR="00C03C37">
        <w:rPr>
          <w:rFonts w:ascii="Trebuchet MS" w:hAnsi="Trebuchet MS" w:cs="Arial"/>
          <w:color w:val="5F5F5F"/>
          <w:sz w:val="20"/>
          <w:szCs w:val="20"/>
        </w:rPr>
        <w:t>lucana</w:t>
      </w:r>
      <w:r w:rsidR="00D630C7">
        <w:rPr>
          <w:rFonts w:ascii="Trebuchet MS" w:hAnsi="Trebuchet MS" w:cs="Arial"/>
          <w:color w:val="5F5F5F"/>
          <w:sz w:val="20"/>
          <w:szCs w:val="20"/>
        </w:rPr>
        <w:t xml:space="preserve"> si riduce </w:t>
      </w:r>
      <w:r w:rsidR="00CD6CF0" w:rsidRPr="00CD6CF0">
        <w:rPr>
          <w:rFonts w:ascii="Trebuchet MS" w:hAnsi="Trebuchet MS" w:cs="Arial"/>
          <w:color w:val="5F5F5F"/>
          <w:sz w:val="20"/>
          <w:szCs w:val="20"/>
        </w:rPr>
        <w:t>di ci</w:t>
      </w:r>
      <w:r w:rsidR="00DA1F57">
        <w:rPr>
          <w:rFonts w:ascii="Trebuchet MS" w:hAnsi="Trebuchet MS" w:cs="Arial"/>
          <w:color w:val="5F5F5F"/>
          <w:sz w:val="20"/>
          <w:szCs w:val="20"/>
        </w:rPr>
        <w:t>rca</w:t>
      </w:r>
      <w:r w:rsidR="00CD6CF0" w:rsidRPr="00CD6CF0">
        <w:rPr>
          <w:rFonts w:ascii="Trebuchet MS" w:hAnsi="Trebuchet MS" w:cs="Arial"/>
          <w:color w:val="5F5F5F"/>
          <w:sz w:val="20"/>
          <w:szCs w:val="20"/>
        </w:rPr>
        <w:t xml:space="preserve"> 25 mila </w:t>
      </w:r>
      <w:r w:rsidR="00D630C7">
        <w:rPr>
          <w:rFonts w:ascii="Trebuchet MS" w:hAnsi="Trebuchet MS" w:cs="Arial"/>
          <w:color w:val="5F5F5F"/>
          <w:sz w:val="20"/>
          <w:szCs w:val="20"/>
        </w:rPr>
        <w:t>unità</w:t>
      </w:r>
      <w:r w:rsidR="00D630C7" w:rsidRPr="00CD6CF0">
        <w:rPr>
          <w:rFonts w:ascii="Trebuchet MS" w:hAnsi="Trebuchet MS" w:cs="Arial"/>
          <w:color w:val="5F5F5F"/>
          <w:sz w:val="20"/>
          <w:szCs w:val="20"/>
        </w:rPr>
        <w:t>(-5,5‰</w:t>
      </w:r>
      <w:r w:rsidR="00D630C7">
        <w:rPr>
          <w:rFonts w:ascii="Trebuchet MS" w:hAnsi="Trebuchet MS" w:cs="Arial"/>
          <w:color w:val="5F5F5F"/>
          <w:sz w:val="20"/>
          <w:szCs w:val="20"/>
        </w:rPr>
        <w:t>)</w:t>
      </w:r>
      <w:r w:rsidR="00D630C7" w:rsidRPr="00CD6CF0">
        <w:rPr>
          <w:rFonts w:ascii="Trebuchet MS" w:hAnsi="Trebuchet MS" w:cs="Arial"/>
          <w:color w:val="5F5F5F"/>
          <w:sz w:val="20"/>
          <w:szCs w:val="20"/>
        </w:rPr>
        <w:t xml:space="preserve">. </w:t>
      </w:r>
    </w:p>
    <w:p w:rsidR="0013537E" w:rsidRDefault="0013537E" w:rsidP="00E072ED">
      <w:pPr>
        <w:spacing w:before="240" w:after="120"/>
        <w:jc w:val="both"/>
        <w:rPr>
          <w:rFonts w:ascii="Arial Narrow" w:hAnsi="Arial Narrow"/>
          <w:color w:val="404040" w:themeColor="text1" w:themeTint="BF"/>
          <w:sz w:val="20"/>
          <w:szCs w:val="20"/>
        </w:rPr>
      </w:pPr>
      <w:r w:rsidRPr="00B162C7">
        <w:rPr>
          <w:rFonts w:ascii="Arial Narrow" w:hAnsi="Arial Narrow"/>
          <w:b/>
          <w:bCs/>
          <w:color w:val="404040" w:themeColor="text1" w:themeTint="BF"/>
          <w:sz w:val="22"/>
          <w:szCs w:val="22"/>
        </w:rPr>
        <w:t>FIGURA 1.</w:t>
      </w:r>
      <w:r w:rsidRPr="00B162C7">
        <w:rPr>
          <w:rFonts w:ascii="Arial Narrow" w:hAnsi="Arial Narrow"/>
          <w:color w:val="404040" w:themeColor="text1" w:themeTint="BF"/>
          <w:sz w:val="22"/>
          <w:szCs w:val="22"/>
        </w:rPr>
        <w:t>POPOLAZIONE RESIDENTE AI CENSIMENTI DELLA POPOLAZIONE DAL 1951 AL 2019</w:t>
      </w:r>
      <w:r w:rsidRPr="00B162C7">
        <w:rPr>
          <w:rFonts w:ascii="Arial Narrow" w:hAnsi="Arial Narrow"/>
          <w:color w:val="404040" w:themeColor="text1" w:themeTint="BF"/>
          <w:sz w:val="20"/>
          <w:szCs w:val="20"/>
        </w:rPr>
        <w:t xml:space="preserve">. Popolazione residente in </w:t>
      </w:r>
      <w:r w:rsidR="00F32911">
        <w:rPr>
          <w:rFonts w:ascii="Arial Narrow" w:hAnsi="Arial Narrow"/>
          <w:color w:val="404040" w:themeColor="text1" w:themeTint="BF"/>
          <w:sz w:val="20"/>
          <w:szCs w:val="20"/>
        </w:rPr>
        <w:t>Basilicata</w:t>
      </w:r>
      <w:r w:rsidRPr="00B162C7">
        <w:rPr>
          <w:rFonts w:ascii="Arial Narrow" w:hAnsi="Arial Narrow"/>
          <w:color w:val="404040" w:themeColor="text1" w:themeTint="BF"/>
          <w:sz w:val="20"/>
          <w:szCs w:val="20"/>
        </w:rPr>
        <w:t>(asse dx</w:t>
      </w:r>
      <w:r w:rsidR="006E2636" w:rsidRPr="006E2636">
        <w:rPr>
          <w:rFonts w:ascii="Arial Narrow" w:hAnsi="Arial Narrow"/>
          <w:color w:val="404040" w:themeColor="text1" w:themeTint="BF"/>
          <w:sz w:val="20"/>
          <w:szCs w:val="20"/>
        </w:rPr>
        <w:t>variazioni medie annue</w:t>
      </w:r>
      <w:bookmarkStart w:id="3" w:name="_Hlk63262088"/>
      <w:bookmarkStart w:id="4" w:name="_Hlk63264117"/>
      <w:r w:rsidR="006E2636" w:rsidRPr="007F4B14">
        <w:rPr>
          <w:rStyle w:val="Rimandonotaapidipagina"/>
          <w:rFonts w:ascii="Arial Narrow" w:hAnsi="Arial Narrow"/>
          <w:color w:val="404040" w:themeColor="text1" w:themeTint="BF"/>
          <w:sz w:val="20"/>
          <w:szCs w:val="20"/>
        </w:rPr>
        <w:footnoteReference w:id="4"/>
      </w:r>
      <w:bookmarkEnd w:id="3"/>
      <w:bookmarkEnd w:id="4"/>
      <w:r w:rsidR="006E2636" w:rsidRPr="000A37FF">
        <w:rPr>
          <w:rFonts w:ascii="Arial Narrow" w:hAnsi="Arial Narrow"/>
          <w:color w:val="404040" w:themeColor="text1" w:themeTint="BF"/>
          <w:sz w:val="20"/>
          <w:szCs w:val="20"/>
        </w:rPr>
        <w:t>per 1.000 residenti</w:t>
      </w:r>
      <w:r w:rsidR="00F32911">
        <w:rPr>
          <w:rFonts w:ascii="Arial Narrow" w:hAnsi="Arial Narrow"/>
          <w:color w:val="404040" w:themeColor="text1" w:themeTint="BF"/>
          <w:sz w:val="20"/>
          <w:szCs w:val="20"/>
        </w:rPr>
        <w:t>Basilicata</w:t>
      </w:r>
      <w:r w:rsidRPr="00B162C7">
        <w:rPr>
          <w:rFonts w:ascii="Arial Narrow" w:hAnsi="Arial Narrow"/>
          <w:color w:val="404040" w:themeColor="text1" w:themeTint="BF"/>
          <w:sz w:val="20"/>
          <w:szCs w:val="20"/>
        </w:rPr>
        <w:t xml:space="preserve">e Italia (asse sx) </w:t>
      </w:r>
    </w:p>
    <w:p w:rsidR="00524D8D" w:rsidRDefault="006E2636" w:rsidP="00524D8D">
      <w:pPr>
        <w:spacing w:after="120"/>
        <w:jc w:val="both"/>
        <w:rPr>
          <w:rFonts w:ascii="Trebuchet MS" w:hAnsi="Trebuchet MS" w:cs="Arial"/>
          <w:color w:val="5F5F5F"/>
          <w:sz w:val="20"/>
          <w:szCs w:val="20"/>
        </w:rPr>
      </w:pPr>
      <w:r>
        <w:rPr>
          <w:noProof/>
        </w:rPr>
        <w:drawing>
          <wp:inline distT="0" distB="0" distL="0" distR="0">
            <wp:extent cx="6120000" cy="2160000"/>
            <wp:effectExtent l="0" t="0" r="14605" b="12065"/>
            <wp:docPr id="1" name="Grafico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400E9" w:rsidRPr="00F6397A" w:rsidRDefault="00B94ED9" w:rsidP="005B5D9A">
      <w:pPr>
        <w:spacing w:before="360" w:after="120"/>
        <w:jc w:val="both"/>
        <w:rPr>
          <w:rFonts w:ascii="Trebuchet MS" w:hAnsi="Trebuchet MS" w:cs="Arial"/>
          <w:color w:val="5F5F5F"/>
          <w:sz w:val="20"/>
          <w:szCs w:val="20"/>
          <w:highlight w:val="yellow"/>
        </w:rPr>
      </w:pPr>
      <w:r w:rsidRPr="0029558A">
        <w:rPr>
          <w:rFonts w:ascii="Trebuchet MS" w:hAnsi="Trebuchet MS" w:cs="Arial"/>
          <w:color w:val="5F5F5F"/>
          <w:sz w:val="20"/>
          <w:szCs w:val="20"/>
        </w:rPr>
        <w:t xml:space="preserve">La distribuzione della popolazione </w:t>
      </w:r>
      <w:r w:rsidR="00AB6154" w:rsidRPr="0029558A">
        <w:rPr>
          <w:rFonts w:ascii="Trebuchet MS" w:hAnsi="Trebuchet MS" w:cs="Arial"/>
          <w:color w:val="5F5F5F"/>
          <w:sz w:val="20"/>
          <w:szCs w:val="20"/>
        </w:rPr>
        <w:t xml:space="preserve">tra le due province della Basilicata rispecchia quella della superficie territoriale. I 100 comuni della provincia di Potenza, che coprono il 65,5% </w:t>
      </w:r>
      <w:r w:rsidR="00923684">
        <w:rPr>
          <w:rFonts w:ascii="Trebuchet MS" w:hAnsi="Trebuchet MS" w:cs="Arial"/>
          <w:color w:val="5F5F5F"/>
          <w:sz w:val="20"/>
          <w:szCs w:val="20"/>
        </w:rPr>
        <w:t xml:space="preserve">della </w:t>
      </w:r>
      <w:r w:rsidR="00AB6154" w:rsidRPr="0029558A">
        <w:rPr>
          <w:rFonts w:ascii="Trebuchet MS" w:hAnsi="Trebuchet MS" w:cs="Arial"/>
          <w:color w:val="5F5F5F"/>
          <w:sz w:val="20"/>
          <w:szCs w:val="20"/>
        </w:rPr>
        <w:t>superficie regionale, contano 358.401 residenti, pari al 64,8% della popolazione lucana</w:t>
      </w:r>
      <w:r w:rsidR="0029558A" w:rsidRPr="0029558A">
        <w:rPr>
          <w:rFonts w:ascii="Trebuchet MS" w:hAnsi="Trebuchet MS" w:cs="Arial"/>
          <w:color w:val="5F5F5F"/>
          <w:sz w:val="20"/>
          <w:szCs w:val="20"/>
        </w:rPr>
        <w:t xml:space="preserve">; i 31 comuni della provincia di Matera pesano per il 34,5% in termini di superficie e per il 35,2% in termini di popolazione. </w:t>
      </w:r>
      <w:r w:rsidR="0029558A">
        <w:rPr>
          <w:rFonts w:ascii="Trebuchet MS" w:hAnsi="Trebuchet MS" w:cs="Arial"/>
          <w:color w:val="5F5F5F"/>
          <w:sz w:val="20"/>
          <w:szCs w:val="20"/>
        </w:rPr>
        <w:t xml:space="preserve">Scendendo nel dettaglio,emerge </w:t>
      </w:r>
      <w:r w:rsidRPr="0029558A">
        <w:rPr>
          <w:rFonts w:ascii="Trebuchet MS" w:hAnsi="Trebuchet MS" w:cs="Arial"/>
          <w:color w:val="5F5F5F"/>
          <w:sz w:val="20"/>
          <w:szCs w:val="20"/>
        </w:rPr>
        <w:t>un significativo squilibrio tra l</w:t>
      </w:r>
      <w:r w:rsidR="00044A59" w:rsidRPr="0029558A">
        <w:rPr>
          <w:rFonts w:ascii="Trebuchet MS" w:hAnsi="Trebuchet MS" w:cs="Arial"/>
          <w:color w:val="5F5F5F"/>
          <w:sz w:val="20"/>
          <w:szCs w:val="20"/>
        </w:rPr>
        <w:t xml:space="preserve">a gran parte </w:t>
      </w:r>
      <w:r w:rsidR="004F2BFF" w:rsidRPr="0029558A">
        <w:rPr>
          <w:rFonts w:ascii="Trebuchet MS" w:hAnsi="Trebuchet MS" w:cs="Arial"/>
          <w:color w:val="5F5F5F"/>
          <w:sz w:val="20"/>
          <w:szCs w:val="20"/>
        </w:rPr>
        <w:t>della regione</w:t>
      </w:r>
      <w:r w:rsidR="00044A59" w:rsidRPr="0029558A">
        <w:rPr>
          <w:rFonts w:ascii="Trebuchet MS" w:hAnsi="Trebuchet MS" w:cs="Arial"/>
          <w:color w:val="5F5F5F"/>
          <w:sz w:val="20"/>
          <w:szCs w:val="20"/>
        </w:rPr>
        <w:t>, sempre più colpita dallo spopolamento e poche aree</w:t>
      </w:r>
      <w:r w:rsidR="00F6397A" w:rsidRPr="0029558A">
        <w:rPr>
          <w:rFonts w:ascii="Trebuchet MS" w:hAnsi="Trebuchet MS" w:cs="Arial"/>
          <w:color w:val="5F5F5F"/>
          <w:sz w:val="20"/>
          <w:szCs w:val="20"/>
        </w:rPr>
        <w:t xml:space="preserve">, </w:t>
      </w:r>
      <w:r w:rsidR="004F2BFF" w:rsidRPr="0029558A">
        <w:rPr>
          <w:rFonts w:ascii="Trebuchet MS" w:hAnsi="Trebuchet MS" w:cs="Arial"/>
          <w:color w:val="5F5F5F"/>
          <w:sz w:val="20"/>
          <w:szCs w:val="20"/>
        </w:rPr>
        <w:t xml:space="preserve">disposte </w:t>
      </w:r>
      <w:r w:rsidR="00F6397A" w:rsidRPr="0029558A">
        <w:rPr>
          <w:rFonts w:ascii="Trebuchet MS" w:hAnsi="Trebuchet MS" w:cs="Arial"/>
          <w:color w:val="5F5F5F"/>
          <w:sz w:val="20"/>
          <w:szCs w:val="20"/>
        </w:rPr>
        <w:t xml:space="preserve">per lo più ai </w:t>
      </w:r>
      <w:r w:rsidR="004F2BFF" w:rsidRPr="0029558A">
        <w:rPr>
          <w:rFonts w:ascii="Trebuchet MS" w:hAnsi="Trebuchet MS" w:cs="Arial"/>
          <w:color w:val="5F5F5F"/>
          <w:sz w:val="20"/>
          <w:szCs w:val="20"/>
        </w:rPr>
        <w:t xml:space="preserve">margini </w:t>
      </w:r>
      <w:r w:rsidR="00F6397A" w:rsidRPr="0029558A">
        <w:rPr>
          <w:rFonts w:ascii="Trebuchet MS" w:hAnsi="Trebuchet MS" w:cs="Arial"/>
          <w:color w:val="5F5F5F"/>
          <w:sz w:val="20"/>
          <w:szCs w:val="20"/>
        </w:rPr>
        <w:t>del</w:t>
      </w:r>
      <w:r w:rsidR="004F2BFF" w:rsidRPr="0029558A">
        <w:rPr>
          <w:rFonts w:ascii="Trebuchet MS" w:hAnsi="Trebuchet MS" w:cs="Arial"/>
          <w:color w:val="5F5F5F"/>
          <w:sz w:val="20"/>
          <w:szCs w:val="20"/>
        </w:rPr>
        <w:t xml:space="preserve"> territorio regionale</w:t>
      </w:r>
      <w:r w:rsidR="00F6397A" w:rsidRPr="0029558A">
        <w:rPr>
          <w:rFonts w:ascii="Trebuchet MS" w:hAnsi="Trebuchet MS" w:cs="Arial"/>
          <w:color w:val="5F5F5F"/>
          <w:sz w:val="20"/>
          <w:szCs w:val="20"/>
        </w:rPr>
        <w:t xml:space="preserve">, caratterizzate da una crescita demografica </w:t>
      </w:r>
      <w:r w:rsidR="004F2BFF" w:rsidRPr="0029558A">
        <w:rPr>
          <w:rFonts w:ascii="Trebuchet MS" w:hAnsi="Trebuchet MS" w:cs="Arial"/>
          <w:color w:val="5F5F5F"/>
          <w:sz w:val="20"/>
          <w:szCs w:val="20"/>
        </w:rPr>
        <w:t xml:space="preserve">a volte anche particolarmente sostenuta, come </w:t>
      </w:r>
      <w:r w:rsidR="00E90398">
        <w:rPr>
          <w:rFonts w:ascii="Trebuchet MS" w:hAnsi="Trebuchet MS" w:cs="Arial"/>
          <w:color w:val="5F5F5F"/>
          <w:sz w:val="20"/>
          <w:szCs w:val="20"/>
        </w:rPr>
        <w:t>in alcuni comuni de</w:t>
      </w:r>
      <w:r w:rsidR="004F2BFF" w:rsidRPr="0029558A">
        <w:rPr>
          <w:rFonts w:ascii="Trebuchet MS" w:hAnsi="Trebuchet MS" w:cs="Arial"/>
          <w:color w:val="5F5F5F"/>
          <w:sz w:val="20"/>
          <w:szCs w:val="20"/>
        </w:rPr>
        <w:t>l</w:t>
      </w:r>
      <w:r w:rsidR="00F6397A" w:rsidRPr="0029558A">
        <w:rPr>
          <w:rFonts w:ascii="Trebuchet MS" w:hAnsi="Trebuchet MS" w:cs="Arial"/>
          <w:color w:val="5F5F5F"/>
          <w:sz w:val="20"/>
          <w:szCs w:val="20"/>
        </w:rPr>
        <w:t xml:space="preserve"> litorale jonico. </w:t>
      </w:r>
    </w:p>
    <w:p w:rsidR="001D554F" w:rsidRPr="00710C34" w:rsidRDefault="001D554F" w:rsidP="00E072ED">
      <w:pPr>
        <w:spacing w:before="240" w:after="60"/>
        <w:jc w:val="both"/>
        <w:rPr>
          <w:rFonts w:ascii="Trebuchet MS" w:eastAsia="Calibri" w:hAnsi="Trebuchet MS" w:cs="Arial"/>
          <w:color w:val="595959" w:themeColor="text1" w:themeTint="A6"/>
          <w:sz w:val="18"/>
          <w:szCs w:val="18"/>
        </w:rPr>
      </w:pPr>
      <w:r w:rsidRPr="00710C34">
        <w:rPr>
          <w:rFonts w:ascii="Arial Narrow" w:hAnsi="Arial Narrow" w:cs="Arial Narrow"/>
          <w:b/>
          <w:bCs/>
          <w:color w:val="595959" w:themeColor="text1" w:themeTint="A6"/>
          <w:sz w:val="22"/>
          <w:szCs w:val="22"/>
        </w:rPr>
        <w:t xml:space="preserve">PROSPETTO 1. </w:t>
      </w:r>
      <w:r w:rsidRPr="00710C34">
        <w:rPr>
          <w:rFonts w:ascii="Arial Narrow" w:hAnsi="Arial Narrow" w:cs="Arial Narrow"/>
          <w:color w:val="595959" w:themeColor="text1" w:themeTint="A6"/>
          <w:sz w:val="22"/>
          <w:szCs w:val="22"/>
        </w:rPr>
        <w:t xml:space="preserve">POPOLAZIONE RESIDENTE PER PROVINCIA. </w:t>
      </w:r>
      <w:r w:rsidRPr="00710C34">
        <w:rPr>
          <w:rFonts w:ascii="Arial Narrow" w:hAnsi="Arial Narrow" w:cs="Arial Narrow"/>
          <w:color w:val="595959" w:themeColor="text1" w:themeTint="A6"/>
          <w:sz w:val="20"/>
          <w:szCs w:val="20"/>
        </w:rPr>
        <w:t>Censimenti 2019, 2018 e 2011. Valori assoluti e variazioni per 1.000 residenti</w:t>
      </w:r>
    </w:p>
    <w:tbl>
      <w:tblPr>
        <w:tblW w:w="5000" w:type="pct"/>
        <w:tblCellMar>
          <w:left w:w="70" w:type="dxa"/>
          <w:right w:w="70" w:type="dxa"/>
        </w:tblCellMar>
        <w:tblLook w:val="04A0"/>
      </w:tblPr>
      <w:tblGrid>
        <w:gridCol w:w="1732"/>
        <w:gridCol w:w="1881"/>
        <w:gridCol w:w="1255"/>
        <w:gridCol w:w="1254"/>
        <w:gridCol w:w="1254"/>
        <w:gridCol w:w="1109"/>
        <w:gridCol w:w="1293"/>
      </w:tblGrid>
      <w:tr w:rsidR="00F32911" w:rsidTr="00D5536E">
        <w:trPr>
          <w:trHeight w:val="255"/>
        </w:trPr>
        <w:tc>
          <w:tcPr>
            <w:tcW w:w="886" w:type="pct"/>
            <w:vMerge w:val="restart"/>
            <w:tcBorders>
              <w:top w:val="single" w:sz="4" w:space="0" w:color="auto"/>
              <w:left w:val="nil"/>
              <w:bottom w:val="single" w:sz="4" w:space="0" w:color="auto"/>
              <w:right w:val="nil"/>
            </w:tcBorders>
            <w:shd w:val="clear" w:color="auto" w:fill="auto"/>
            <w:noWrap/>
            <w:vAlign w:val="center"/>
            <w:hideMark/>
          </w:tcPr>
          <w:p w:rsidR="00F32911" w:rsidRDefault="00F32911">
            <w:pPr>
              <w:rPr>
                <w:rFonts w:ascii="Arial Narrow" w:hAnsi="Arial Narrow" w:cs="Calibri"/>
                <w:b/>
                <w:bCs/>
                <w:color w:val="000000"/>
                <w:sz w:val="18"/>
                <w:szCs w:val="18"/>
              </w:rPr>
            </w:pPr>
            <w:r>
              <w:rPr>
                <w:rFonts w:ascii="Arial Narrow" w:hAnsi="Arial Narrow" w:cs="Calibri"/>
                <w:b/>
                <w:bCs/>
                <w:color w:val="000000"/>
                <w:sz w:val="18"/>
                <w:szCs w:val="18"/>
              </w:rPr>
              <w:t>PROVINCE</w:t>
            </w:r>
          </w:p>
        </w:tc>
        <w:tc>
          <w:tcPr>
            <w:tcW w:w="962" w:type="pct"/>
            <w:vMerge w:val="restart"/>
            <w:tcBorders>
              <w:top w:val="single" w:sz="4" w:space="0" w:color="auto"/>
              <w:left w:val="nil"/>
              <w:bottom w:val="single" w:sz="4" w:space="0" w:color="auto"/>
              <w:right w:val="nil"/>
            </w:tcBorders>
            <w:shd w:val="clear" w:color="000000" w:fill="D9D9D9"/>
            <w:vAlign w:val="center"/>
            <w:hideMark/>
          </w:tcPr>
          <w:p w:rsidR="00F32911" w:rsidRDefault="00F32911">
            <w:pPr>
              <w:jc w:val="right"/>
              <w:rPr>
                <w:rFonts w:ascii="Arial Narrow" w:hAnsi="Arial Narrow" w:cs="Calibri"/>
                <w:b/>
                <w:bCs/>
                <w:color w:val="000000"/>
                <w:sz w:val="18"/>
                <w:szCs w:val="18"/>
              </w:rPr>
            </w:pPr>
            <w:r>
              <w:rPr>
                <w:rFonts w:ascii="Arial Narrow" w:hAnsi="Arial Narrow" w:cs="Calibri"/>
                <w:b/>
                <w:bCs/>
                <w:color w:val="000000"/>
                <w:sz w:val="18"/>
                <w:szCs w:val="18"/>
              </w:rPr>
              <w:t>Numero comuni</w:t>
            </w:r>
          </w:p>
        </w:tc>
        <w:tc>
          <w:tcPr>
            <w:tcW w:w="1924" w:type="pct"/>
            <w:gridSpan w:val="3"/>
            <w:tcBorders>
              <w:top w:val="single" w:sz="4" w:space="0" w:color="auto"/>
              <w:left w:val="nil"/>
              <w:bottom w:val="single" w:sz="4" w:space="0" w:color="auto"/>
              <w:right w:val="nil"/>
            </w:tcBorders>
            <w:shd w:val="clear" w:color="auto" w:fill="auto"/>
            <w:noWrap/>
            <w:vAlign w:val="center"/>
            <w:hideMark/>
          </w:tcPr>
          <w:p w:rsidR="00F32911" w:rsidRDefault="00F32911">
            <w:pPr>
              <w:jc w:val="center"/>
              <w:rPr>
                <w:rFonts w:ascii="Arial Narrow" w:hAnsi="Arial Narrow" w:cs="Calibri"/>
                <w:b/>
                <w:bCs/>
                <w:color w:val="000000"/>
                <w:sz w:val="18"/>
                <w:szCs w:val="18"/>
              </w:rPr>
            </w:pPr>
            <w:r>
              <w:rPr>
                <w:rFonts w:ascii="Arial Narrow" w:hAnsi="Arial Narrow" w:cs="Calibri"/>
                <w:b/>
                <w:bCs/>
                <w:color w:val="000000"/>
                <w:sz w:val="18"/>
                <w:szCs w:val="18"/>
              </w:rPr>
              <w:t>Popolazione residente</w:t>
            </w:r>
          </w:p>
        </w:tc>
        <w:tc>
          <w:tcPr>
            <w:tcW w:w="1228" w:type="pct"/>
            <w:gridSpan w:val="2"/>
            <w:tcBorders>
              <w:top w:val="single" w:sz="4" w:space="0" w:color="auto"/>
              <w:left w:val="nil"/>
              <w:bottom w:val="single" w:sz="4" w:space="0" w:color="auto"/>
              <w:right w:val="nil"/>
            </w:tcBorders>
            <w:shd w:val="clear" w:color="000000" w:fill="D9D9D9"/>
            <w:noWrap/>
            <w:vAlign w:val="bottom"/>
            <w:hideMark/>
          </w:tcPr>
          <w:p w:rsidR="00F32911" w:rsidRDefault="00F32911">
            <w:pPr>
              <w:jc w:val="center"/>
              <w:rPr>
                <w:rFonts w:ascii="Arial Narrow" w:hAnsi="Arial Narrow" w:cs="Calibri"/>
                <w:b/>
                <w:bCs/>
                <w:color w:val="000000"/>
                <w:sz w:val="18"/>
                <w:szCs w:val="18"/>
              </w:rPr>
            </w:pPr>
            <w:r>
              <w:rPr>
                <w:rFonts w:ascii="Arial Narrow" w:hAnsi="Arial Narrow" w:cs="Calibri"/>
                <w:b/>
                <w:bCs/>
                <w:color w:val="000000"/>
                <w:sz w:val="18"/>
                <w:szCs w:val="18"/>
              </w:rPr>
              <w:t>Variazioni medie annue</w:t>
            </w:r>
          </w:p>
        </w:tc>
      </w:tr>
      <w:tr w:rsidR="00F32911" w:rsidTr="00D5536E">
        <w:trPr>
          <w:trHeight w:val="255"/>
        </w:trPr>
        <w:tc>
          <w:tcPr>
            <w:tcW w:w="886" w:type="pct"/>
            <w:vMerge/>
            <w:tcBorders>
              <w:top w:val="single" w:sz="4" w:space="0" w:color="auto"/>
              <w:left w:val="nil"/>
              <w:bottom w:val="single" w:sz="4" w:space="0" w:color="auto"/>
              <w:right w:val="nil"/>
            </w:tcBorders>
            <w:vAlign w:val="center"/>
            <w:hideMark/>
          </w:tcPr>
          <w:p w:rsidR="00F32911" w:rsidRDefault="00F32911">
            <w:pPr>
              <w:rPr>
                <w:rFonts w:ascii="Arial Narrow" w:hAnsi="Arial Narrow" w:cs="Calibri"/>
                <w:b/>
                <w:bCs/>
                <w:color w:val="000000"/>
                <w:sz w:val="18"/>
                <w:szCs w:val="18"/>
              </w:rPr>
            </w:pPr>
          </w:p>
        </w:tc>
        <w:tc>
          <w:tcPr>
            <w:tcW w:w="962" w:type="pct"/>
            <w:vMerge/>
            <w:tcBorders>
              <w:top w:val="single" w:sz="4" w:space="0" w:color="auto"/>
              <w:left w:val="nil"/>
              <w:bottom w:val="single" w:sz="4" w:space="0" w:color="auto"/>
              <w:right w:val="nil"/>
            </w:tcBorders>
            <w:vAlign w:val="center"/>
            <w:hideMark/>
          </w:tcPr>
          <w:p w:rsidR="00F32911" w:rsidRDefault="00F32911">
            <w:pPr>
              <w:rPr>
                <w:rFonts w:ascii="Arial Narrow" w:hAnsi="Arial Narrow" w:cs="Calibri"/>
                <w:b/>
                <w:bCs/>
                <w:color w:val="000000"/>
                <w:sz w:val="18"/>
                <w:szCs w:val="18"/>
              </w:rPr>
            </w:pPr>
          </w:p>
        </w:tc>
        <w:tc>
          <w:tcPr>
            <w:tcW w:w="642" w:type="pct"/>
            <w:tcBorders>
              <w:top w:val="nil"/>
              <w:left w:val="nil"/>
              <w:bottom w:val="single" w:sz="4" w:space="0" w:color="auto"/>
              <w:right w:val="nil"/>
            </w:tcBorders>
            <w:shd w:val="clear" w:color="000000" w:fill="FFFFFF"/>
            <w:noWrap/>
            <w:vAlign w:val="bottom"/>
            <w:hideMark/>
          </w:tcPr>
          <w:p w:rsidR="00F32911" w:rsidRDefault="00F32911">
            <w:pPr>
              <w:jc w:val="right"/>
              <w:rPr>
                <w:rFonts w:ascii="Arial Narrow" w:hAnsi="Arial Narrow" w:cs="Calibri"/>
                <w:color w:val="000000"/>
                <w:sz w:val="18"/>
                <w:szCs w:val="18"/>
              </w:rPr>
            </w:pPr>
            <w:r>
              <w:rPr>
                <w:rFonts w:ascii="Arial Narrow" w:hAnsi="Arial Narrow" w:cs="Calibri"/>
                <w:color w:val="000000"/>
                <w:sz w:val="18"/>
                <w:szCs w:val="18"/>
              </w:rPr>
              <w:t>2019</w:t>
            </w:r>
          </w:p>
        </w:tc>
        <w:tc>
          <w:tcPr>
            <w:tcW w:w="641" w:type="pct"/>
            <w:tcBorders>
              <w:top w:val="nil"/>
              <w:left w:val="nil"/>
              <w:bottom w:val="single" w:sz="4" w:space="0" w:color="auto"/>
              <w:right w:val="nil"/>
            </w:tcBorders>
            <w:shd w:val="clear" w:color="000000" w:fill="D9D9D9"/>
            <w:noWrap/>
            <w:vAlign w:val="bottom"/>
            <w:hideMark/>
          </w:tcPr>
          <w:p w:rsidR="00F32911" w:rsidRDefault="00F32911">
            <w:pPr>
              <w:jc w:val="right"/>
              <w:rPr>
                <w:rFonts w:ascii="Arial Narrow" w:hAnsi="Arial Narrow" w:cs="Calibri"/>
                <w:color w:val="000000"/>
                <w:sz w:val="18"/>
                <w:szCs w:val="18"/>
              </w:rPr>
            </w:pPr>
            <w:r>
              <w:rPr>
                <w:rFonts w:ascii="Arial Narrow" w:hAnsi="Arial Narrow" w:cs="Calibri"/>
                <w:color w:val="000000"/>
                <w:sz w:val="18"/>
                <w:szCs w:val="18"/>
              </w:rPr>
              <w:t>2018</w:t>
            </w:r>
          </w:p>
        </w:tc>
        <w:tc>
          <w:tcPr>
            <w:tcW w:w="641" w:type="pct"/>
            <w:tcBorders>
              <w:top w:val="nil"/>
              <w:left w:val="nil"/>
              <w:bottom w:val="single" w:sz="4" w:space="0" w:color="auto"/>
              <w:right w:val="nil"/>
            </w:tcBorders>
            <w:shd w:val="clear" w:color="000000" w:fill="FFFFFF"/>
            <w:noWrap/>
            <w:vAlign w:val="bottom"/>
            <w:hideMark/>
          </w:tcPr>
          <w:p w:rsidR="00F32911" w:rsidRDefault="00F32911">
            <w:pPr>
              <w:jc w:val="right"/>
              <w:rPr>
                <w:rFonts w:ascii="Arial Narrow" w:hAnsi="Arial Narrow" w:cs="Calibri"/>
                <w:color w:val="000000"/>
                <w:sz w:val="18"/>
                <w:szCs w:val="18"/>
              </w:rPr>
            </w:pPr>
            <w:r>
              <w:rPr>
                <w:rFonts w:ascii="Arial Narrow" w:hAnsi="Arial Narrow" w:cs="Calibri"/>
                <w:color w:val="000000"/>
                <w:sz w:val="18"/>
                <w:szCs w:val="18"/>
              </w:rPr>
              <w:t>2011</w:t>
            </w:r>
          </w:p>
        </w:tc>
        <w:tc>
          <w:tcPr>
            <w:tcW w:w="567" w:type="pct"/>
            <w:tcBorders>
              <w:top w:val="nil"/>
              <w:left w:val="nil"/>
              <w:bottom w:val="single" w:sz="4" w:space="0" w:color="auto"/>
              <w:right w:val="nil"/>
            </w:tcBorders>
            <w:shd w:val="clear" w:color="000000" w:fill="D9D9D9"/>
            <w:noWrap/>
            <w:vAlign w:val="bottom"/>
            <w:hideMark/>
          </w:tcPr>
          <w:p w:rsidR="00F32911" w:rsidRDefault="00F32911">
            <w:pPr>
              <w:jc w:val="right"/>
              <w:rPr>
                <w:rFonts w:ascii="Arial Narrow" w:hAnsi="Arial Narrow" w:cs="Calibri"/>
                <w:color w:val="000000"/>
                <w:sz w:val="18"/>
                <w:szCs w:val="18"/>
              </w:rPr>
            </w:pPr>
            <w:r>
              <w:rPr>
                <w:rFonts w:ascii="Arial Narrow" w:hAnsi="Arial Narrow" w:cs="Calibri"/>
                <w:color w:val="000000"/>
                <w:sz w:val="18"/>
                <w:szCs w:val="18"/>
              </w:rPr>
              <w:t>2019-2018</w:t>
            </w:r>
          </w:p>
        </w:tc>
        <w:tc>
          <w:tcPr>
            <w:tcW w:w="661" w:type="pct"/>
            <w:tcBorders>
              <w:top w:val="nil"/>
              <w:left w:val="nil"/>
              <w:bottom w:val="single" w:sz="4" w:space="0" w:color="auto"/>
              <w:right w:val="nil"/>
            </w:tcBorders>
            <w:shd w:val="clear" w:color="000000" w:fill="FFFFFF"/>
            <w:noWrap/>
            <w:vAlign w:val="bottom"/>
            <w:hideMark/>
          </w:tcPr>
          <w:p w:rsidR="00F32911" w:rsidRDefault="00F32911">
            <w:pPr>
              <w:jc w:val="right"/>
              <w:rPr>
                <w:rFonts w:ascii="Arial Narrow" w:hAnsi="Arial Narrow" w:cs="Calibri"/>
                <w:color w:val="000000"/>
                <w:sz w:val="18"/>
                <w:szCs w:val="18"/>
              </w:rPr>
            </w:pPr>
            <w:r>
              <w:rPr>
                <w:rFonts w:ascii="Arial Narrow" w:hAnsi="Arial Narrow" w:cs="Calibri"/>
                <w:color w:val="000000"/>
                <w:sz w:val="18"/>
                <w:szCs w:val="18"/>
              </w:rPr>
              <w:t>2019-2011</w:t>
            </w:r>
            <w:r>
              <w:rPr>
                <w:rFonts w:ascii="Arial Narrow" w:hAnsi="Arial Narrow" w:cs="Calibri"/>
                <w:color w:val="000000"/>
                <w:sz w:val="18"/>
                <w:szCs w:val="18"/>
                <w:vertAlign w:val="superscript"/>
              </w:rPr>
              <w:t>(a)</w:t>
            </w:r>
          </w:p>
        </w:tc>
      </w:tr>
      <w:tr w:rsidR="00F32911" w:rsidTr="00D5536E">
        <w:trPr>
          <w:trHeight w:val="255"/>
        </w:trPr>
        <w:tc>
          <w:tcPr>
            <w:tcW w:w="886" w:type="pct"/>
            <w:tcBorders>
              <w:top w:val="nil"/>
              <w:left w:val="nil"/>
              <w:bottom w:val="single" w:sz="4" w:space="0" w:color="auto"/>
              <w:right w:val="nil"/>
            </w:tcBorders>
            <w:shd w:val="clear" w:color="auto" w:fill="auto"/>
            <w:noWrap/>
            <w:vAlign w:val="center"/>
            <w:hideMark/>
          </w:tcPr>
          <w:p w:rsidR="00F32911" w:rsidRDefault="00F32911">
            <w:pPr>
              <w:rPr>
                <w:rFonts w:ascii="Arial Narrow" w:hAnsi="Arial Narrow" w:cs="Calibri"/>
                <w:color w:val="000000"/>
                <w:sz w:val="18"/>
                <w:szCs w:val="18"/>
              </w:rPr>
            </w:pPr>
            <w:r>
              <w:rPr>
                <w:rFonts w:ascii="Arial Narrow" w:hAnsi="Arial Narrow" w:cs="Calibri"/>
                <w:color w:val="000000"/>
                <w:sz w:val="18"/>
                <w:szCs w:val="18"/>
              </w:rPr>
              <w:t>Matera</w:t>
            </w:r>
          </w:p>
        </w:tc>
        <w:tc>
          <w:tcPr>
            <w:tcW w:w="962" w:type="pct"/>
            <w:tcBorders>
              <w:top w:val="nil"/>
              <w:left w:val="nil"/>
              <w:bottom w:val="single" w:sz="4" w:space="0" w:color="auto"/>
              <w:right w:val="nil"/>
            </w:tcBorders>
            <w:shd w:val="clear" w:color="000000" w:fill="D9D9D9"/>
            <w:noWrap/>
            <w:vAlign w:val="center"/>
            <w:hideMark/>
          </w:tcPr>
          <w:p w:rsidR="00F32911" w:rsidRDefault="00F32911">
            <w:pPr>
              <w:jc w:val="right"/>
              <w:rPr>
                <w:rFonts w:ascii="Arial Narrow" w:hAnsi="Arial Narrow" w:cs="Calibri"/>
                <w:color w:val="000000"/>
                <w:sz w:val="18"/>
                <w:szCs w:val="18"/>
              </w:rPr>
            </w:pPr>
            <w:r>
              <w:rPr>
                <w:rFonts w:ascii="Arial Narrow" w:hAnsi="Arial Narrow" w:cs="Calibri"/>
                <w:color w:val="000000"/>
                <w:sz w:val="18"/>
                <w:szCs w:val="18"/>
              </w:rPr>
              <w:t>31</w:t>
            </w:r>
          </w:p>
        </w:tc>
        <w:tc>
          <w:tcPr>
            <w:tcW w:w="642" w:type="pct"/>
            <w:tcBorders>
              <w:top w:val="nil"/>
              <w:left w:val="nil"/>
              <w:bottom w:val="single" w:sz="4" w:space="0" w:color="auto"/>
              <w:right w:val="nil"/>
            </w:tcBorders>
            <w:shd w:val="clear" w:color="000000" w:fill="FFFFFF"/>
            <w:noWrap/>
            <w:vAlign w:val="center"/>
            <w:hideMark/>
          </w:tcPr>
          <w:p w:rsidR="00F32911" w:rsidRDefault="00F32911">
            <w:pPr>
              <w:jc w:val="right"/>
              <w:rPr>
                <w:rFonts w:ascii="Arial Narrow" w:hAnsi="Arial Narrow" w:cs="Calibri"/>
                <w:color w:val="000000"/>
                <w:sz w:val="18"/>
                <w:szCs w:val="18"/>
              </w:rPr>
            </w:pPr>
            <w:r>
              <w:rPr>
                <w:rFonts w:ascii="Arial Narrow" w:hAnsi="Arial Narrow" w:cs="Calibri"/>
                <w:color w:val="000000"/>
                <w:sz w:val="18"/>
                <w:szCs w:val="18"/>
              </w:rPr>
              <w:t>194.853</w:t>
            </w:r>
          </w:p>
        </w:tc>
        <w:tc>
          <w:tcPr>
            <w:tcW w:w="641" w:type="pct"/>
            <w:tcBorders>
              <w:top w:val="nil"/>
              <w:left w:val="nil"/>
              <w:bottom w:val="single" w:sz="4" w:space="0" w:color="auto"/>
              <w:right w:val="nil"/>
            </w:tcBorders>
            <w:shd w:val="clear" w:color="000000" w:fill="D9D9D9"/>
            <w:noWrap/>
            <w:vAlign w:val="center"/>
            <w:hideMark/>
          </w:tcPr>
          <w:p w:rsidR="00F32911" w:rsidRDefault="00F32911">
            <w:pPr>
              <w:jc w:val="right"/>
              <w:rPr>
                <w:rFonts w:ascii="Arial Narrow" w:hAnsi="Arial Narrow" w:cs="Calibri"/>
                <w:color w:val="000000"/>
                <w:sz w:val="18"/>
                <w:szCs w:val="18"/>
              </w:rPr>
            </w:pPr>
            <w:r>
              <w:rPr>
                <w:rFonts w:ascii="Arial Narrow" w:hAnsi="Arial Narrow" w:cs="Calibri"/>
                <w:color w:val="000000"/>
                <w:sz w:val="18"/>
                <w:szCs w:val="18"/>
              </w:rPr>
              <w:t>196.135</w:t>
            </w:r>
          </w:p>
        </w:tc>
        <w:tc>
          <w:tcPr>
            <w:tcW w:w="641" w:type="pct"/>
            <w:tcBorders>
              <w:top w:val="nil"/>
              <w:left w:val="nil"/>
              <w:bottom w:val="single" w:sz="4" w:space="0" w:color="auto"/>
              <w:right w:val="nil"/>
            </w:tcBorders>
            <w:shd w:val="clear" w:color="000000" w:fill="FFFFFF"/>
            <w:noWrap/>
            <w:vAlign w:val="center"/>
            <w:hideMark/>
          </w:tcPr>
          <w:p w:rsidR="00F32911" w:rsidRDefault="00F32911">
            <w:pPr>
              <w:jc w:val="right"/>
              <w:rPr>
                <w:rFonts w:ascii="Arial Narrow" w:hAnsi="Arial Narrow" w:cs="Calibri"/>
                <w:color w:val="000000"/>
                <w:sz w:val="18"/>
                <w:szCs w:val="18"/>
              </w:rPr>
            </w:pPr>
            <w:r>
              <w:rPr>
                <w:rFonts w:ascii="Arial Narrow" w:hAnsi="Arial Narrow" w:cs="Calibri"/>
                <w:color w:val="000000"/>
                <w:sz w:val="18"/>
                <w:szCs w:val="18"/>
              </w:rPr>
              <w:t>200.101</w:t>
            </w:r>
          </w:p>
        </w:tc>
        <w:tc>
          <w:tcPr>
            <w:tcW w:w="567" w:type="pct"/>
            <w:tcBorders>
              <w:top w:val="nil"/>
              <w:left w:val="nil"/>
              <w:bottom w:val="single" w:sz="4" w:space="0" w:color="auto"/>
              <w:right w:val="nil"/>
            </w:tcBorders>
            <w:shd w:val="clear" w:color="000000" w:fill="D9D9D9"/>
            <w:noWrap/>
            <w:vAlign w:val="center"/>
            <w:hideMark/>
          </w:tcPr>
          <w:p w:rsidR="00F32911" w:rsidRDefault="00F32911">
            <w:pPr>
              <w:jc w:val="right"/>
              <w:rPr>
                <w:rFonts w:ascii="Arial Narrow" w:hAnsi="Arial Narrow" w:cs="Calibri"/>
                <w:color w:val="000000"/>
                <w:sz w:val="18"/>
                <w:szCs w:val="18"/>
              </w:rPr>
            </w:pPr>
            <w:r>
              <w:rPr>
                <w:rFonts w:ascii="Arial Narrow" w:hAnsi="Arial Narrow" w:cs="Calibri"/>
                <w:color w:val="000000"/>
                <w:sz w:val="18"/>
                <w:szCs w:val="18"/>
              </w:rPr>
              <w:t>-6,5</w:t>
            </w:r>
          </w:p>
        </w:tc>
        <w:tc>
          <w:tcPr>
            <w:tcW w:w="661" w:type="pct"/>
            <w:tcBorders>
              <w:top w:val="nil"/>
              <w:left w:val="nil"/>
              <w:bottom w:val="single" w:sz="4" w:space="0" w:color="auto"/>
              <w:right w:val="nil"/>
            </w:tcBorders>
            <w:shd w:val="clear" w:color="000000" w:fill="FFFFFF"/>
            <w:noWrap/>
            <w:vAlign w:val="center"/>
            <w:hideMark/>
          </w:tcPr>
          <w:p w:rsidR="00F32911" w:rsidRDefault="00F32911">
            <w:pPr>
              <w:jc w:val="right"/>
              <w:rPr>
                <w:rFonts w:ascii="Arial Narrow" w:hAnsi="Arial Narrow" w:cs="Calibri"/>
                <w:color w:val="000000"/>
                <w:sz w:val="18"/>
                <w:szCs w:val="18"/>
              </w:rPr>
            </w:pPr>
            <w:r>
              <w:rPr>
                <w:rFonts w:ascii="Arial Narrow" w:hAnsi="Arial Narrow" w:cs="Calibri"/>
                <w:color w:val="000000"/>
                <w:sz w:val="18"/>
                <w:szCs w:val="18"/>
              </w:rPr>
              <w:t>-3,3</w:t>
            </w:r>
          </w:p>
        </w:tc>
      </w:tr>
      <w:tr w:rsidR="00F32911" w:rsidTr="00D5536E">
        <w:trPr>
          <w:trHeight w:val="255"/>
        </w:trPr>
        <w:tc>
          <w:tcPr>
            <w:tcW w:w="886" w:type="pct"/>
            <w:tcBorders>
              <w:top w:val="nil"/>
              <w:left w:val="nil"/>
              <w:bottom w:val="single" w:sz="4" w:space="0" w:color="auto"/>
              <w:right w:val="nil"/>
            </w:tcBorders>
            <w:shd w:val="clear" w:color="auto" w:fill="auto"/>
            <w:noWrap/>
            <w:vAlign w:val="center"/>
            <w:hideMark/>
          </w:tcPr>
          <w:p w:rsidR="00F32911" w:rsidRDefault="00F32911">
            <w:pPr>
              <w:rPr>
                <w:rFonts w:ascii="Arial Narrow" w:hAnsi="Arial Narrow" w:cs="Calibri"/>
                <w:color w:val="000000"/>
                <w:sz w:val="18"/>
                <w:szCs w:val="18"/>
              </w:rPr>
            </w:pPr>
            <w:r>
              <w:rPr>
                <w:rFonts w:ascii="Arial Narrow" w:hAnsi="Arial Narrow" w:cs="Calibri"/>
                <w:color w:val="000000"/>
                <w:sz w:val="18"/>
                <w:szCs w:val="18"/>
              </w:rPr>
              <w:t>Potenza</w:t>
            </w:r>
          </w:p>
        </w:tc>
        <w:tc>
          <w:tcPr>
            <w:tcW w:w="962" w:type="pct"/>
            <w:tcBorders>
              <w:top w:val="nil"/>
              <w:left w:val="nil"/>
              <w:bottom w:val="single" w:sz="4" w:space="0" w:color="auto"/>
              <w:right w:val="nil"/>
            </w:tcBorders>
            <w:shd w:val="clear" w:color="000000" w:fill="D9D9D9"/>
            <w:noWrap/>
            <w:vAlign w:val="center"/>
            <w:hideMark/>
          </w:tcPr>
          <w:p w:rsidR="00F32911" w:rsidRDefault="00F32911">
            <w:pPr>
              <w:jc w:val="right"/>
              <w:rPr>
                <w:rFonts w:ascii="Arial Narrow" w:hAnsi="Arial Narrow" w:cs="Calibri"/>
                <w:color w:val="000000"/>
                <w:sz w:val="18"/>
                <w:szCs w:val="18"/>
              </w:rPr>
            </w:pPr>
            <w:r>
              <w:rPr>
                <w:rFonts w:ascii="Arial Narrow" w:hAnsi="Arial Narrow" w:cs="Calibri"/>
                <w:color w:val="000000"/>
                <w:sz w:val="18"/>
                <w:szCs w:val="18"/>
              </w:rPr>
              <w:t>100</w:t>
            </w:r>
          </w:p>
        </w:tc>
        <w:tc>
          <w:tcPr>
            <w:tcW w:w="642" w:type="pct"/>
            <w:tcBorders>
              <w:top w:val="nil"/>
              <w:left w:val="nil"/>
              <w:bottom w:val="single" w:sz="4" w:space="0" w:color="auto"/>
              <w:right w:val="nil"/>
            </w:tcBorders>
            <w:shd w:val="clear" w:color="000000" w:fill="FFFFFF"/>
            <w:noWrap/>
            <w:vAlign w:val="center"/>
            <w:hideMark/>
          </w:tcPr>
          <w:p w:rsidR="00F32911" w:rsidRDefault="00F32911">
            <w:pPr>
              <w:jc w:val="right"/>
              <w:rPr>
                <w:rFonts w:ascii="Arial Narrow" w:hAnsi="Arial Narrow" w:cs="Calibri"/>
                <w:color w:val="000000"/>
                <w:sz w:val="18"/>
                <w:szCs w:val="18"/>
              </w:rPr>
            </w:pPr>
            <w:r>
              <w:rPr>
                <w:rFonts w:ascii="Arial Narrow" w:hAnsi="Arial Narrow" w:cs="Calibri"/>
                <w:color w:val="000000"/>
                <w:sz w:val="18"/>
                <w:szCs w:val="18"/>
              </w:rPr>
              <w:t>358.401</w:t>
            </w:r>
          </w:p>
        </w:tc>
        <w:tc>
          <w:tcPr>
            <w:tcW w:w="641" w:type="pct"/>
            <w:tcBorders>
              <w:top w:val="nil"/>
              <w:left w:val="nil"/>
              <w:bottom w:val="single" w:sz="4" w:space="0" w:color="auto"/>
              <w:right w:val="nil"/>
            </w:tcBorders>
            <w:shd w:val="clear" w:color="000000" w:fill="D9D9D9"/>
            <w:noWrap/>
            <w:vAlign w:val="center"/>
            <w:hideMark/>
          </w:tcPr>
          <w:p w:rsidR="00F32911" w:rsidRDefault="00F32911">
            <w:pPr>
              <w:jc w:val="right"/>
              <w:rPr>
                <w:rFonts w:ascii="Arial Narrow" w:hAnsi="Arial Narrow" w:cs="Calibri"/>
                <w:color w:val="000000"/>
                <w:sz w:val="18"/>
                <w:szCs w:val="18"/>
              </w:rPr>
            </w:pPr>
            <w:r>
              <w:rPr>
                <w:rFonts w:ascii="Arial Narrow" w:hAnsi="Arial Narrow" w:cs="Calibri"/>
                <w:color w:val="000000"/>
                <w:sz w:val="18"/>
                <w:szCs w:val="18"/>
              </w:rPr>
              <w:t>362.452</w:t>
            </w:r>
          </w:p>
        </w:tc>
        <w:tc>
          <w:tcPr>
            <w:tcW w:w="641" w:type="pct"/>
            <w:tcBorders>
              <w:top w:val="nil"/>
              <w:left w:val="nil"/>
              <w:bottom w:val="single" w:sz="4" w:space="0" w:color="auto"/>
              <w:right w:val="nil"/>
            </w:tcBorders>
            <w:shd w:val="clear" w:color="000000" w:fill="FFFFFF"/>
            <w:noWrap/>
            <w:vAlign w:val="center"/>
            <w:hideMark/>
          </w:tcPr>
          <w:p w:rsidR="00F32911" w:rsidRDefault="00F32911">
            <w:pPr>
              <w:jc w:val="right"/>
              <w:rPr>
                <w:rFonts w:ascii="Arial Narrow" w:hAnsi="Arial Narrow" w:cs="Calibri"/>
                <w:color w:val="000000"/>
                <w:sz w:val="18"/>
                <w:szCs w:val="18"/>
              </w:rPr>
            </w:pPr>
            <w:r>
              <w:rPr>
                <w:rFonts w:ascii="Arial Narrow" w:hAnsi="Arial Narrow" w:cs="Calibri"/>
                <w:color w:val="000000"/>
                <w:sz w:val="18"/>
                <w:szCs w:val="18"/>
              </w:rPr>
              <w:t>377.935</w:t>
            </w:r>
          </w:p>
        </w:tc>
        <w:tc>
          <w:tcPr>
            <w:tcW w:w="567" w:type="pct"/>
            <w:tcBorders>
              <w:top w:val="nil"/>
              <w:left w:val="nil"/>
              <w:bottom w:val="single" w:sz="4" w:space="0" w:color="auto"/>
              <w:right w:val="nil"/>
            </w:tcBorders>
            <w:shd w:val="clear" w:color="000000" w:fill="D9D9D9"/>
            <w:noWrap/>
            <w:vAlign w:val="center"/>
            <w:hideMark/>
          </w:tcPr>
          <w:p w:rsidR="00F32911" w:rsidRDefault="00F32911">
            <w:pPr>
              <w:jc w:val="right"/>
              <w:rPr>
                <w:rFonts w:ascii="Arial Narrow" w:hAnsi="Arial Narrow" w:cs="Calibri"/>
                <w:color w:val="000000"/>
                <w:sz w:val="18"/>
                <w:szCs w:val="18"/>
              </w:rPr>
            </w:pPr>
            <w:r>
              <w:rPr>
                <w:rFonts w:ascii="Arial Narrow" w:hAnsi="Arial Narrow" w:cs="Calibri"/>
                <w:color w:val="000000"/>
                <w:sz w:val="18"/>
                <w:szCs w:val="18"/>
              </w:rPr>
              <w:t>-11,2</w:t>
            </w:r>
          </w:p>
        </w:tc>
        <w:tc>
          <w:tcPr>
            <w:tcW w:w="661" w:type="pct"/>
            <w:tcBorders>
              <w:top w:val="nil"/>
              <w:left w:val="nil"/>
              <w:bottom w:val="single" w:sz="4" w:space="0" w:color="auto"/>
              <w:right w:val="nil"/>
            </w:tcBorders>
            <w:shd w:val="clear" w:color="000000" w:fill="FFFFFF"/>
            <w:noWrap/>
            <w:vAlign w:val="center"/>
            <w:hideMark/>
          </w:tcPr>
          <w:p w:rsidR="00F32911" w:rsidRDefault="00F32911">
            <w:pPr>
              <w:jc w:val="right"/>
              <w:rPr>
                <w:rFonts w:ascii="Arial Narrow" w:hAnsi="Arial Narrow" w:cs="Calibri"/>
                <w:color w:val="000000"/>
                <w:sz w:val="18"/>
                <w:szCs w:val="18"/>
              </w:rPr>
            </w:pPr>
            <w:r>
              <w:rPr>
                <w:rFonts w:ascii="Arial Narrow" w:hAnsi="Arial Narrow" w:cs="Calibri"/>
                <w:color w:val="000000"/>
                <w:sz w:val="18"/>
                <w:szCs w:val="18"/>
              </w:rPr>
              <w:t>-6,6</w:t>
            </w:r>
          </w:p>
        </w:tc>
      </w:tr>
      <w:tr w:rsidR="00F32911" w:rsidTr="00D5536E">
        <w:trPr>
          <w:trHeight w:val="255"/>
        </w:trPr>
        <w:tc>
          <w:tcPr>
            <w:tcW w:w="886" w:type="pct"/>
            <w:tcBorders>
              <w:top w:val="nil"/>
              <w:left w:val="nil"/>
              <w:bottom w:val="single" w:sz="4" w:space="0" w:color="auto"/>
              <w:right w:val="nil"/>
            </w:tcBorders>
            <w:shd w:val="clear" w:color="000000" w:fill="C9321F"/>
            <w:noWrap/>
            <w:vAlign w:val="center"/>
            <w:hideMark/>
          </w:tcPr>
          <w:p w:rsidR="00F32911" w:rsidRDefault="00F32911">
            <w:pPr>
              <w:rPr>
                <w:rFonts w:ascii="Arial Narrow" w:hAnsi="Arial Narrow" w:cs="Calibri"/>
                <w:b/>
                <w:bCs/>
                <w:color w:val="FFFFFF"/>
                <w:sz w:val="18"/>
                <w:szCs w:val="18"/>
              </w:rPr>
            </w:pPr>
            <w:r>
              <w:rPr>
                <w:rFonts w:ascii="Arial Narrow" w:hAnsi="Arial Narrow" w:cs="Calibri"/>
                <w:b/>
                <w:bCs/>
                <w:color w:val="FFFFFF"/>
                <w:sz w:val="18"/>
                <w:szCs w:val="18"/>
              </w:rPr>
              <w:t>BASILICATA</w:t>
            </w:r>
          </w:p>
        </w:tc>
        <w:tc>
          <w:tcPr>
            <w:tcW w:w="962" w:type="pct"/>
            <w:tcBorders>
              <w:top w:val="nil"/>
              <w:left w:val="nil"/>
              <w:bottom w:val="single" w:sz="4" w:space="0" w:color="auto"/>
              <w:right w:val="nil"/>
            </w:tcBorders>
            <w:shd w:val="clear" w:color="000000" w:fill="C9321F"/>
            <w:noWrap/>
            <w:vAlign w:val="center"/>
            <w:hideMark/>
          </w:tcPr>
          <w:p w:rsidR="00F32911" w:rsidRDefault="00F32911">
            <w:pPr>
              <w:jc w:val="right"/>
              <w:rPr>
                <w:rFonts w:ascii="Arial Narrow" w:hAnsi="Arial Narrow" w:cs="Calibri"/>
                <w:b/>
                <w:bCs/>
                <w:color w:val="FFFFFF"/>
                <w:sz w:val="18"/>
                <w:szCs w:val="18"/>
              </w:rPr>
            </w:pPr>
            <w:r>
              <w:rPr>
                <w:rFonts w:ascii="Arial Narrow" w:hAnsi="Arial Narrow" w:cs="Calibri"/>
                <w:b/>
                <w:bCs/>
                <w:color w:val="FFFFFF"/>
                <w:sz w:val="18"/>
                <w:szCs w:val="18"/>
              </w:rPr>
              <w:t>131</w:t>
            </w:r>
          </w:p>
        </w:tc>
        <w:tc>
          <w:tcPr>
            <w:tcW w:w="642" w:type="pct"/>
            <w:tcBorders>
              <w:top w:val="nil"/>
              <w:left w:val="nil"/>
              <w:bottom w:val="single" w:sz="4" w:space="0" w:color="auto"/>
              <w:right w:val="nil"/>
            </w:tcBorders>
            <w:shd w:val="clear" w:color="000000" w:fill="C9321F"/>
            <w:noWrap/>
            <w:vAlign w:val="center"/>
            <w:hideMark/>
          </w:tcPr>
          <w:p w:rsidR="00F32911" w:rsidRDefault="00F32911">
            <w:pPr>
              <w:jc w:val="right"/>
              <w:rPr>
                <w:rFonts w:ascii="Arial Narrow" w:hAnsi="Arial Narrow" w:cs="Calibri"/>
                <w:b/>
                <w:bCs/>
                <w:color w:val="FFFFFF"/>
                <w:sz w:val="18"/>
                <w:szCs w:val="18"/>
              </w:rPr>
            </w:pPr>
            <w:r>
              <w:rPr>
                <w:rFonts w:ascii="Arial Narrow" w:hAnsi="Arial Narrow" w:cs="Calibri"/>
                <w:b/>
                <w:bCs/>
                <w:color w:val="FFFFFF"/>
                <w:sz w:val="18"/>
                <w:szCs w:val="18"/>
              </w:rPr>
              <w:t xml:space="preserve">553.254 </w:t>
            </w:r>
          </w:p>
        </w:tc>
        <w:tc>
          <w:tcPr>
            <w:tcW w:w="641" w:type="pct"/>
            <w:tcBorders>
              <w:top w:val="nil"/>
              <w:left w:val="nil"/>
              <w:bottom w:val="single" w:sz="4" w:space="0" w:color="auto"/>
              <w:right w:val="nil"/>
            </w:tcBorders>
            <w:shd w:val="clear" w:color="000000" w:fill="C9321F"/>
            <w:noWrap/>
            <w:vAlign w:val="center"/>
            <w:hideMark/>
          </w:tcPr>
          <w:p w:rsidR="00F32911" w:rsidRDefault="00F32911">
            <w:pPr>
              <w:jc w:val="right"/>
              <w:rPr>
                <w:rFonts w:ascii="Arial Narrow" w:hAnsi="Arial Narrow" w:cs="Calibri"/>
                <w:b/>
                <w:bCs/>
                <w:color w:val="FFFFFF"/>
                <w:sz w:val="18"/>
                <w:szCs w:val="18"/>
              </w:rPr>
            </w:pPr>
            <w:r>
              <w:rPr>
                <w:rFonts w:ascii="Arial Narrow" w:hAnsi="Arial Narrow" w:cs="Calibri"/>
                <w:b/>
                <w:bCs/>
                <w:color w:val="FFFFFF"/>
                <w:sz w:val="18"/>
                <w:szCs w:val="18"/>
              </w:rPr>
              <w:t xml:space="preserve">558.587 </w:t>
            </w:r>
          </w:p>
        </w:tc>
        <w:tc>
          <w:tcPr>
            <w:tcW w:w="641" w:type="pct"/>
            <w:tcBorders>
              <w:top w:val="nil"/>
              <w:left w:val="nil"/>
              <w:bottom w:val="single" w:sz="4" w:space="0" w:color="auto"/>
              <w:right w:val="nil"/>
            </w:tcBorders>
            <w:shd w:val="clear" w:color="000000" w:fill="C9321F"/>
            <w:noWrap/>
            <w:vAlign w:val="center"/>
            <w:hideMark/>
          </w:tcPr>
          <w:p w:rsidR="00F32911" w:rsidRDefault="00F32911">
            <w:pPr>
              <w:jc w:val="right"/>
              <w:rPr>
                <w:rFonts w:ascii="Arial Narrow" w:hAnsi="Arial Narrow" w:cs="Calibri"/>
                <w:b/>
                <w:bCs/>
                <w:color w:val="FFFFFF"/>
                <w:sz w:val="18"/>
                <w:szCs w:val="18"/>
              </w:rPr>
            </w:pPr>
            <w:r>
              <w:rPr>
                <w:rFonts w:ascii="Arial Narrow" w:hAnsi="Arial Narrow" w:cs="Calibri"/>
                <w:b/>
                <w:bCs/>
                <w:color w:val="FFFFFF"/>
                <w:sz w:val="18"/>
                <w:szCs w:val="18"/>
              </w:rPr>
              <w:t xml:space="preserve">578.036 </w:t>
            </w:r>
          </w:p>
        </w:tc>
        <w:tc>
          <w:tcPr>
            <w:tcW w:w="567" w:type="pct"/>
            <w:tcBorders>
              <w:top w:val="nil"/>
              <w:left w:val="nil"/>
              <w:bottom w:val="single" w:sz="4" w:space="0" w:color="auto"/>
              <w:right w:val="nil"/>
            </w:tcBorders>
            <w:shd w:val="clear" w:color="000000" w:fill="C9321F"/>
            <w:noWrap/>
            <w:vAlign w:val="center"/>
            <w:hideMark/>
          </w:tcPr>
          <w:p w:rsidR="00F32911" w:rsidRDefault="00F32911">
            <w:pPr>
              <w:jc w:val="right"/>
              <w:rPr>
                <w:rFonts w:ascii="Arial Narrow" w:hAnsi="Arial Narrow" w:cs="Calibri"/>
                <w:b/>
                <w:bCs/>
                <w:color w:val="FFFFFF"/>
                <w:sz w:val="18"/>
                <w:szCs w:val="18"/>
              </w:rPr>
            </w:pPr>
            <w:r>
              <w:rPr>
                <w:rFonts w:ascii="Arial Narrow" w:hAnsi="Arial Narrow" w:cs="Calibri"/>
                <w:b/>
                <w:bCs/>
                <w:color w:val="FFFFFF"/>
                <w:sz w:val="18"/>
                <w:szCs w:val="18"/>
              </w:rPr>
              <w:t>-9,5</w:t>
            </w:r>
          </w:p>
        </w:tc>
        <w:tc>
          <w:tcPr>
            <w:tcW w:w="661" w:type="pct"/>
            <w:tcBorders>
              <w:top w:val="nil"/>
              <w:left w:val="nil"/>
              <w:bottom w:val="single" w:sz="4" w:space="0" w:color="auto"/>
              <w:right w:val="nil"/>
            </w:tcBorders>
            <w:shd w:val="clear" w:color="000000" w:fill="C9321F"/>
            <w:noWrap/>
            <w:vAlign w:val="center"/>
            <w:hideMark/>
          </w:tcPr>
          <w:p w:rsidR="00F32911" w:rsidRDefault="00F32911">
            <w:pPr>
              <w:jc w:val="right"/>
              <w:rPr>
                <w:rFonts w:ascii="Arial Narrow" w:hAnsi="Arial Narrow" w:cs="Calibri"/>
                <w:b/>
                <w:bCs/>
                <w:color w:val="FFFFFF"/>
                <w:sz w:val="18"/>
                <w:szCs w:val="18"/>
              </w:rPr>
            </w:pPr>
            <w:r>
              <w:rPr>
                <w:rFonts w:ascii="Arial Narrow" w:hAnsi="Arial Narrow" w:cs="Calibri"/>
                <w:b/>
                <w:bCs/>
                <w:color w:val="FFFFFF"/>
                <w:sz w:val="18"/>
                <w:szCs w:val="18"/>
              </w:rPr>
              <w:t>-5,5</w:t>
            </w:r>
          </w:p>
        </w:tc>
      </w:tr>
    </w:tbl>
    <w:p w:rsidR="001D554F" w:rsidRPr="001D554F" w:rsidRDefault="001D554F" w:rsidP="001D554F">
      <w:pPr>
        <w:jc w:val="both"/>
        <w:rPr>
          <w:rFonts w:ascii="Arial Narrow" w:hAnsi="Arial Narrow" w:cs="Calibri"/>
          <w:color w:val="000000"/>
          <w:sz w:val="16"/>
          <w:szCs w:val="16"/>
        </w:rPr>
      </w:pPr>
      <w:r>
        <w:rPr>
          <w:rFonts w:ascii="Arial Narrow" w:hAnsi="Arial Narrow" w:cs="Calibri"/>
          <w:color w:val="000000"/>
          <w:sz w:val="18"/>
          <w:szCs w:val="18"/>
          <w:vertAlign w:val="superscript"/>
        </w:rPr>
        <w:t>(</w:t>
      </w:r>
      <w:r w:rsidRPr="001D554F">
        <w:rPr>
          <w:rFonts w:ascii="Arial Narrow" w:hAnsi="Arial Narrow" w:cs="Calibri"/>
          <w:color w:val="000000"/>
          <w:sz w:val="16"/>
          <w:szCs w:val="16"/>
          <w:vertAlign w:val="superscript"/>
        </w:rPr>
        <w:t>a)</w:t>
      </w:r>
      <w:r w:rsidRPr="001D554F">
        <w:rPr>
          <w:rFonts w:ascii="Arial Narrow" w:hAnsi="Arial Narrow" w:cs="Calibri"/>
          <w:color w:val="000000"/>
          <w:sz w:val="16"/>
          <w:szCs w:val="16"/>
        </w:rPr>
        <w:t xml:space="preserve">Variazione media annua </w:t>
      </w:r>
      <w:r w:rsidR="00A712C4">
        <w:rPr>
          <w:rFonts w:ascii="Arial Narrow" w:hAnsi="Arial Narrow" w:cs="Calibri"/>
          <w:color w:val="000000"/>
          <w:sz w:val="16"/>
          <w:szCs w:val="16"/>
        </w:rPr>
        <w:t>geometrica (o composta)</w:t>
      </w:r>
    </w:p>
    <w:p w:rsidR="00182623" w:rsidRPr="00182623" w:rsidRDefault="00283393" w:rsidP="005B5D9A">
      <w:pPr>
        <w:spacing w:before="360" w:after="120"/>
        <w:jc w:val="both"/>
        <w:rPr>
          <w:rFonts w:ascii="Trebuchet MS" w:hAnsi="Trebuchet MS" w:cs="Arial"/>
          <w:color w:val="5F5F5F"/>
          <w:sz w:val="20"/>
          <w:szCs w:val="20"/>
        </w:rPr>
      </w:pPr>
      <w:r>
        <w:rPr>
          <w:rFonts w:ascii="Trebuchet MS" w:hAnsi="Trebuchet MS" w:cs="Arial"/>
          <w:color w:val="5F5F5F"/>
          <w:sz w:val="20"/>
          <w:szCs w:val="20"/>
        </w:rPr>
        <w:t>Al C</w:t>
      </w:r>
      <w:r w:rsidR="004816D0" w:rsidRPr="00182623">
        <w:rPr>
          <w:rFonts w:ascii="Trebuchet MS" w:hAnsi="Trebuchet MS" w:cs="Arial"/>
          <w:color w:val="5F5F5F"/>
          <w:sz w:val="20"/>
          <w:szCs w:val="20"/>
        </w:rPr>
        <w:t>ensimento del 1951</w:t>
      </w:r>
      <w:r w:rsidR="003445A4" w:rsidRPr="00182623">
        <w:rPr>
          <w:rFonts w:ascii="Trebuchet MS" w:hAnsi="Trebuchet MS" w:cs="Arial"/>
          <w:color w:val="5F5F5F"/>
          <w:sz w:val="20"/>
          <w:szCs w:val="20"/>
        </w:rPr>
        <w:t xml:space="preserve">, </w:t>
      </w:r>
      <w:r w:rsidR="007F2B65" w:rsidRPr="00182623">
        <w:rPr>
          <w:rFonts w:ascii="Trebuchet MS" w:hAnsi="Trebuchet MS" w:cs="Arial"/>
          <w:color w:val="5F5F5F"/>
          <w:sz w:val="20"/>
          <w:szCs w:val="20"/>
        </w:rPr>
        <w:t>la</w:t>
      </w:r>
      <w:r w:rsidR="003445A4" w:rsidRPr="00182623">
        <w:rPr>
          <w:rFonts w:ascii="Trebuchet MS" w:hAnsi="Trebuchet MS" w:cs="Arial"/>
          <w:color w:val="5F5F5F"/>
          <w:sz w:val="20"/>
          <w:szCs w:val="20"/>
        </w:rPr>
        <w:t xml:space="preserve"> provincia di </w:t>
      </w:r>
      <w:r w:rsidR="00E90398" w:rsidRPr="00182623">
        <w:rPr>
          <w:rFonts w:ascii="Trebuchet MS" w:hAnsi="Trebuchet MS" w:cs="Arial"/>
          <w:color w:val="5F5F5F"/>
          <w:sz w:val="20"/>
          <w:szCs w:val="20"/>
        </w:rPr>
        <w:t>Potenza</w:t>
      </w:r>
      <w:r w:rsidR="007F2B65" w:rsidRPr="00182623">
        <w:rPr>
          <w:rFonts w:ascii="Trebuchet MS" w:hAnsi="Trebuchet MS" w:cs="Arial"/>
          <w:color w:val="5F5F5F"/>
          <w:sz w:val="20"/>
          <w:szCs w:val="20"/>
        </w:rPr>
        <w:t>contava</w:t>
      </w:r>
      <w:r w:rsidR="00E90398" w:rsidRPr="00182623">
        <w:rPr>
          <w:rFonts w:ascii="Trebuchet MS" w:hAnsi="Trebuchet MS" w:cs="Arial"/>
          <w:color w:val="5F5F5F"/>
          <w:sz w:val="20"/>
          <w:szCs w:val="20"/>
        </w:rPr>
        <w:t>445 mila</w:t>
      </w:r>
      <w:r w:rsidR="007F2B65" w:rsidRPr="00182623">
        <w:rPr>
          <w:rFonts w:ascii="Trebuchet MS" w:hAnsi="Trebuchet MS" w:cs="Arial"/>
          <w:color w:val="5F5F5F"/>
          <w:sz w:val="20"/>
          <w:szCs w:val="20"/>
        </w:rPr>
        <w:t>residenti</w:t>
      </w:r>
      <w:r w:rsidR="003445A4" w:rsidRPr="00182623">
        <w:rPr>
          <w:rFonts w:ascii="Trebuchet MS" w:hAnsi="Trebuchet MS" w:cs="Arial"/>
          <w:color w:val="5F5F5F"/>
          <w:sz w:val="20"/>
          <w:szCs w:val="20"/>
        </w:rPr>
        <w:t xml:space="preserve">, con una densità di </w:t>
      </w:r>
      <w:r w:rsidR="00E90398" w:rsidRPr="00182623">
        <w:rPr>
          <w:rFonts w:ascii="Trebuchet MS" w:hAnsi="Trebuchet MS" w:cs="Arial"/>
          <w:color w:val="5F5F5F"/>
          <w:sz w:val="20"/>
          <w:szCs w:val="20"/>
        </w:rPr>
        <w:t>71</w:t>
      </w:r>
      <w:r w:rsidR="003445A4" w:rsidRPr="00182623">
        <w:rPr>
          <w:rFonts w:ascii="Trebuchet MS" w:hAnsi="Trebuchet MS" w:cs="Arial"/>
          <w:color w:val="5F5F5F"/>
          <w:sz w:val="20"/>
          <w:szCs w:val="20"/>
        </w:rPr>
        <w:t>abitanti per km</w:t>
      </w:r>
      <w:r w:rsidR="003445A4" w:rsidRPr="00182623">
        <w:rPr>
          <w:rFonts w:ascii="Trebuchet MS" w:hAnsi="Trebuchet MS" w:cs="Arial"/>
          <w:color w:val="5F5F5F"/>
          <w:sz w:val="20"/>
          <w:szCs w:val="20"/>
          <w:vertAlign w:val="superscript"/>
        </w:rPr>
        <w:t>2</w:t>
      </w:r>
      <w:r w:rsidR="003445A4" w:rsidRPr="00182623">
        <w:rPr>
          <w:rFonts w:ascii="Trebuchet MS" w:hAnsi="Trebuchet MS" w:cs="Arial"/>
          <w:color w:val="5F5F5F"/>
          <w:sz w:val="20"/>
          <w:szCs w:val="20"/>
        </w:rPr>
        <w:t>; 68 anni dopo la popolazione è</w:t>
      </w:r>
      <w:r w:rsidR="00E90398" w:rsidRPr="00182623">
        <w:rPr>
          <w:rFonts w:ascii="Trebuchet MS" w:hAnsi="Trebuchet MS" w:cs="Arial"/>
          <w:color w:val="5F5F5F"/>
          <w:sz w:val="20"/>
          <w:szCs w:val="20"/>
        </w:rPr>
        <w:t xml:space="preserve"> diminuita di87 mila</w:t>
      </w:r>
      <w:r w:rsidR="00A829EC" w:rsidRPr="00182623">
        <w:rPr>
          <w:rFonts w:ascii="Trebuchet MS" w:hAnsi="Trebuchet MS" w:cs="Arial"/>
          <w:color w:val="5F5F5F"/>
          <w:sz w:val="20"/>
          <w:szCs w:val="20"/>
        </w:rPr>
        <w:t xml:space="preserve">unità </w:t>
      </w:r>
      <w:r w:rsidR="00182623" w:rsidRPr="00182623">
        <w:rPr>
          <w:rFonts w:ascii="Trebuchet MS" w:hAnsi="Trebuchet MS" w:cs="Arial"/>
          <w:color w:val="5F5F5F"/>
          <w:sz w:val="20"/>
          <w:szCs w:val="20"/>
        </w:rPr>
        <w:t xml:space="preserve">(-3,2‰ il tasso medio annuo) </w:t>
      </w:r>
      <w:r w:rsidR="003445A4" w:rsidRPr="00182623">
        <w:rPr>
          <w:rFonts w:ascii="Trebuchet MS" w:hAnsi="Trebuchet MS" w:cs="Arial"/>
          <w:color w:val="5F5F5F"/>
          <w:sz w:val="20"/>
          <w:szCs w:val="20"/>
        </w:rPr>
        <w:t xml:space="preserve">e la densità </w:t>
      </w:r>
      <w:r w:rsidR="00E90398" w:rsidRPr="00182623">
        <w:rPr>
          <w:rFonts w:ascii="Trebuchet MS" w:hAnsi="Trebuchet MS" w:cs="Arial"/>
          <w:color w:val="5F5F5F"/>
          <w:sz w:val="20"/>
          <w:szCs w:val="20"/>
        </w:rPr>
        <w:t>è scesa a 54</w:t>
      </w:r>
      <w:r w:rsidR="003445A4" w:rsidRPr="00182623">
        <w:rPr>
          <w:rFonts w:ascii="Trebuchet MS" w:hAnsi="Trebuchet MS" w:cs="Arial"/>
          <w:color w:val="5F5F5F"/>
          <w:sz w:val="20"/>
          <w:szCs w:val="20"/>
        </w:rPr>
        <w:t xml:space="preserve"> abitanti per km</w:t>
      </w:r>
      <w:r w:rsidR="003445A4" w:rsidRPr="00182623">
        <w:rPr>
          <w:rFonts w:ascii="Trebuchet MS" w:hAnsi="Trebuchet MS" w:cs="Arial"/>
          <w:color w:val="5F5F5F"/>
          <w:sz w:val="20"/>
          <w:szCs w:val="20"/>
          <w:vertAlign w:val="superscript"/>
        </w:rPr>
        <w:t>2</w:t>
      </w:r>
      <w:r w:rsidR="003445A4" w:rsidRPr="00182623">
        <w:rPr>
          <w:rFonts w:ascii="Trebuchet MS" w:hAnsi="Trebuchet MS" w:cs="Arial"/>
          <w:color w:val="5F5F5F"/>
          <w:sz w:val="20"/>
          <w:szCs w:val="20"/>
        </w:rPr>
        <w:t xml:space="preserve">, a fronte dei </w:t>
      </w:r>
      <w:r w:rsidR="00E90398" w:rsidRPr="00182623">
        <w:rPr>
          <w:rFonts w:ascii="Trebuchet MS" w:hAnsi="Trebuchet MS" w:cs="Arial"/>
          <w:color w:val="5F5F5F"/>
          <w:sz w:val="20"/>
          <w:szCs w:val="20"/>
        </w:rPr>
        <w:t>55</w:t>
      </w:r>
      <w:r w:rsidR="003445A4" w:rsidRPr="00182623">
        <w:rPr>
          <w:rFonts w:ascii="Trebuchet MS" w:hAnsi="Trebuchet MS" w:cs="Arial"/>
          <w:color w:val="5F5F5F"/>
          <w:sz w:val="20"/>
          <w:szCs w:val="20"/>
        </w:rPr>
        <w:t xml:space="preserve"> abitanti per km</w:t>
      </w:r>
      <w:r w:rsidR="003445A4" w:rsidRPr="00182623">
        <w:rPr>
          <w:rFonts w:ascii="Trebuchet MS" w:hAnsi="Trebuchet MS" w:cs="Arial"/>
          <w:color w:val="5F5F5F"/>
          <w:sz w:val="20"/>
          <w:szCs w:val="20"/>
          <w:vertAlign w:val="superscript"/>
        </w:rPr>
        <w:t>2</w:t>
      </w:r>
      <w:r w:rsidR="003445A4" w:rsidRPr="00182623">
        <w:rPr>
          <w:rFonts w:ascii="Trebuchet MS" w:hAnsi="Trebuchet MS" w:cs="Arial"/>
          <w:color w:val="5F5F5F"/>
          <w:sz w:val="20"/>
          <w:szCs w:val="20"/>
        </w:rPr>
        <w:t xml:space="preserve"> della media regionale.</w:t>
      </w:r>
      <w:r w:rsidR="00182623">
        <w:rPr>
          <w:rFonts w:ascii="Trebuchet MS" w:hAnsi="Trebuchet MS" w:cs="Arial"/>
          <w:color w:val="5F5F5F"/>
          <w:sz w:val="20"/>
          <w:szCs w:val="20"/>
        </w:rPr>
        <w:t>Nello stesso periodo,</w:t>
      </w:r>
      <w:r w:rsidR="001A3152" w:rsidRPr="00182623">
        <w:rPr>
          <w:rFonts w:ascii="Trebuchet MS" w:hAnsi="Trebuchet MS" w:cs="Arial"/>
          <w:color w:val="5F5F5F"/>
          <w:sz w:val="20"/>
          <w:szCs w:val="20"/>
        </w:rPr>
        <w:t xml:space="preserve">la popolazione </w:t>
      </w:r>
      <w:r w:rsidR="00E90398" w:rsidRPr="00182623">
        <w:rPr>
          <w:rFonts w:ascii="Trebuchet MS" w:hAnsi="Trebuchet MS" w:cs="Arial"/>
          <w:color w:val="5F5F5F"/>
          <w:sz w:val="20"/>
          <w:szCs w:val="20"/>
        </w:rPr>
        <w:t xml:space="preserve">della provincia di Matera </w:t>
      </w:r>
      <w:r w:rsidR="001F51FE" w:rsidRPr="00182623">
        <w:rPr>
          <w:rFonts w:ascii="Trebuchet MS" w:hAnsi="Trebuchet MS" w:cs="Arial"/>
          <w:color w:val="5F5F5F"/>
          <w:sz w:val="20"/>
          <w:szCs w:val="20"/>
        </w:rPr>
        <w:t xml:space="preserve">aumenta </w:t>
      </w:r>
      <w:r w:rsidR="00E90398" w:rsidRPr="00182623">
        <w:rPr>
          <w:rFonts w:ascii="Trebuchet MS" w:hAnsi="Trebuchet MS" w:cs="Arial"/>
          <w:color w:val="5F5F5F"/>
          <w:sz w:val="20"/>
          <w:szCs w:val="20"/>
        </w:rPr>
        <w:t xml:space="preserve">di oltre 12 mila unita </w:t>
      </w:r>
      <w:r w:rsidR="00182623" w:rsidRPr="00182623">
        <w:rPr>
          <w:rFonts w:ascii="Trebuchet MS" w:hAnsi="Trebuchet MS" w:cs="Arial"/>
          <w:color w:val="5F5F5F"/>
          <w:sz w:val="20"/>
          <w:szCs w:val="20"/>
        </w:rPr>
        <w:t>(tasso medio annuo +1,0‰) e la densità sale da</w:t>
      </w:r>
      <w:r w:rsidR="00182623">
        <w:rPr>
          <w:rFonts w:ascii="Trebuchet MS" w:hAnsi="Trebuchet MS" w:cs="Arial"/>
          <w:color w:val="5F5F5F"/>
          <w:sz w:val="20"/>
          <w:szCs w:val="20"/>
        </w:rPr>
        <w:t>i</w:t>
      </w:r>
      <w:r w:rsidR="00182623" w:rsidRPr="00182623">
        <w:rPr>
          <w:rFonts w:ascii="Trebuchet MS" w:hAnsi="Trebuchet MS" w:cs="Arial"/>
          <w:color w:val="5F5F5F"/>
          <w:sz w:val="20"/>
          <w:szCs w:val="20"/>
        </w:rPr>
        <w:t xml:space="preserve"> 52 abitanti per km</w:t>
      </w:r>
      <w:r w:rsidR="00182623" w:rsidRPr="00182623">
        <w:rPr>
          <w:rFonts w:ascii="Trebuchet MS" w:hAnsi="Trebuchet MS" w:cs="Arial"/>
          <w:color w:val="5F5F5F"/>
          <w:sz w:val="20"/>
          <w:szCs w:val="20"/>
          <w:vertAlign w:val="superscript"/>
        </w:rPr>
        <w:t>2</w:t>
      </w:r>
      <w:r w:rsidR="00182623">
        <w:rPr>
          <w:rFonts w:ascii="Trebuchet MS" w:hAnsi="Trebuchet MS" w:cs="Arial"/>
          <w:color w:val="5F5F5F"/>
          <w:sz w:val="20"/>
          <w:szCs w:val="20"/>
        </w:rPr>
        <w:t xml:space="preserve"> del 1951 ai 56 del 2019.</w:t>
      </w:r>
    </w:p>
    <w:p w:rsidR="00437DF2" w:rsidRPr="002174A0" w:rsidRDefault="001F51FE" w:rsidP="00B7555D">
      <w:pPr>
        <w:spacing w:before="120" w:after="120"/>
        <w:jc w:val="both"/>
        <w:rPr>
          <w:rFonts w:ascii="Trebuchet MS" w:hAnsi="Trebuchet MS" w:cs="Arial"/>
          <w:color w:val="5F5F5F"/>
          <w:sz w:val="20"/>
          <w:szCs w:val="20"/>
          <w:highlight w:val="yellow"/>
        </w:rPr>
      </w:pPr>
      <w:r w:rsidRPr="006E2636">
        <w:rPr>
          <w:rFonts w:ascii="Trebuchet MS" w:hAnsi="Trebuchet MS" w:cs="Arial"/>
          <w:color w:val="5F5F5F"/>
          <w:sz w:val="20"/>
          <w:szCs w:val="20"/>
        </w:rPr>
        <w:t xml:space="preserve">Tra il 1951 e il 2019, </w:t>
      </w:r>
      <w:r w:rsidR="005A6EDA" w:rsidRPr="006E2636">
        <w:rPr>
          <w:rFonts w:ascii="Trebuchet MS" w:hAnsi="Trebuchet MS" w:cs="Arial"/>
          <w:color w:val="5F5F5F"/>
          <w:sz w:val="20"/>
          <w:szCs w:val="20"/>
        </w:rPr>
        <w:t xml:space="preserve">in 17 </w:t>
      </w:r>
      <w:r w:rsidR="00CC7819" w:rsidRPr="006E2636">
        <w:rPr>
          <w:rFonts w:ascii="Trebuchet MS" w:hAnsi="Trebuchet MS" w:cs="Arial"/>
          <w:color w:val="5F5F5F"/>
          <w:sz w:val="20"/>
          <w:szCs w:val="20"/>
        </w:rPr>
        <w:t xml:space="preserve">comuni </w:t>
      </w:r>
      <w:r w:rsidRPr="006E2636">
        <w:rPr>
          <w:rFonts w:ascii="Trebuchet MS" w:hAnsi="Trebuchet MS" w:cs="Arial"/>
          <w:color w:val="5F5F5F"/>
          <w:sz w:val="20"/>
          <w:szCs w:val="20"/>
        </w:rPr>
        <w:t xml:space="preserve">si </w:t>
      </w:r>
      <w:r w:rsidR="00CC7819" w:rsidRPr="006E2636">
        <w:rPr>
          <w:rFonts w:ascii="Trebuchet MS" w:hAnsi="Trebuchet MS" w:cs="Arial"/>
          <w:color w:val="5F5F5F"/>
          <w:sz w:val="20"/>
          <w:szCs w:val="20"/>
        </w:rPr>
        <w:t>registraun</w:t>
      </w:r>
      <w:r w:rsidR="005A6EDA" w:rsidRPr="006E2636">
        <w:rPr>
          <w:rFonts w:ascii="Trebuchet MS" w:hAnsi="Trebuchet MS" w:cs="Arial"/>
          <w:color w:val="5F5F5F"/>
          <w:sz w:val="20"/>
          <w:szCs w:val="20"/>
        </w:rPr>
        <w:t xml:space="preserve"> aumento della popolazione, ma solo in cinque di essi </w:t>
      </w:r>
      <w:r w:rsidR="00A53C7D" w:rsidRPr="006E2636">
        <w:rPr>
          <w:rFonts w:ascii="Trebuchet MS" w:hAnsi="Trebuchet MS" w:cs="Arial"/>
          <w:color w:val="5F5F5F"/>
          <w:sz w:val="20"/>
          <w:szCs w:val="20"/>
        </w:rPr>
        <w:t>la crescita</w:t>
      </w:r>
      <w:r w:rsidR="005A6EDA" w:rsidRPr="006E2636">
        <w:rPr>
          <w:rFonts w:ascii="Trebuchet MS" w:hAnsi="Trebuchet MS" w:cs="Arial"/>
          <w:color w:val="5F5F5F"/>
          <w:sz w:val="20"/>
          <w:szCs w:val="20"/>
        </w:rPr>
        <w:t xml:space="preserve">è </w:t>
      </w:r>
      <w:r w:rsidR="00DA64C4" w:rsidRPr="006E2636">
        <w:rPr>
          <w:rFonts w:ascii="Trebuchet MS" w:hAnsi="Trebuchet MS" w:cs="Arial"/>
          <w:color w:val="5F5F5F"/>
          <w:sz w:val="20"/>
          <w:szCs w:val="20"/>
        </w:rPr>
        <w:t>sistematica</w:t>
      </w:r>
      <w:r w:rsidR="005A6EDA" w:rsidRPr="006E2636">
        <w:rPr>
          <w:rFonts w:ascii="Trebuchet MS" w:hAnsi="Trebuchet MS" w:cs="Arial"/>
          <w:color w:val="5F5F5F"/>
          <w:sz w:val="20"/>
          <w:szCs w:val="20"/>
        </w:rPr>
        <w:t xml:space="preserve">. Di questi, quattro comuni sono </w:t>
      </w:r>
      <w:r w:rsidR="005A6768" w:rsidRPr="006E2636">
        <w:rPr>
          <w:rFonts w:ascii="Trebuchet MS" w:hAnsi="Trebuchet MS" w:cs="Arial"/>
          <w:color w:val="5F5F5F"/>
          <w:sz w:val="20"/>
          <w:szCs w:val="20"/>
        </w:rPr>
        <w:t xml:space="preserve">nel materano (Matera, Nova </w:t>
      </w:r>
      <w:r w:rsidR="000C0086">
        <w:rPr>
          <w:rFonts w:ascii="Trebuchet MS" w:hAnsi="Trebuchet MS" w:cs="Arial"/>
          <w:color w:val="5F5F5F"/>
          <w:sz w:val="20"/>
          <w:szCs w:val="20"/>
        </w:rPr>
        <w:t>S</w:t>
      </w:r>
      <w:r w:rsidR="005A6768" w:rsidRPr="006E2636">
        <w:rPr>
          <w:rFonts w:ascii="Trebuchet MS" w:hAnsi="Trebuchet MS" w:cs="Arial"/>
          <w:color w:val="5F5F5F"/>
          <w:sz w:val="20"/>
          <w:szCs w:val="20"/>
        </w:rPr>
        <w:t>iri, Scanzano Jonico e Policoro) e uno (Marsicovetere) in provincia di Potenza. La popolazione dei cinque comun</w:t>
      </w:r>
      <w:r w:rsidR="00D630C7">
        <w:rPr>
          <w:rFonts w:ascii="Trebuchet MS" w:hAnsi="Trebuchet MS" w:cs="Arial"/>
          <w:color w:val="5F5F5F"/>
          <w:sz w:val="20"/>
          <w:szCs w:val="20"/>
        </w:rPr>
        <w:t>i</w:t>
      </w:r>
      <w:r w:rsidR="00923684">
        <w:rPr>
          <w:rFonts w:ascii="Trebuchet MS" w:hAnsi="Trebuchet MS" w:cs="Arial"/>
          <w:color w:val="5F5F5F"/>
          <w:sz w:val="20"/>
          <w:szCs w:val="20"/>
        </w:rPr>
        <w:t xml:space="preserve"> cresce</w:t>
      </w:r>
      <w:r w:rsidR="005A6768" w:rsidRPr="006E2636">
        <w:rPr>
          <w:rFonts w:ascii="Trebuchet MS" w:hAnsi="Trebuchet MS" w:cs="Arial"/>
          <w:color w:val="5F5F5F"/>
          <w:sz w:val="20"/>
          <w:szCs w:val="20"/>
        </w:rPr>
        <w:t xml:space="preserve"> mediamente del 13,7‰ l’anno</w:t>
      </w:r>
      <w:r w:rsidR="00A53C7D">
        <w:rPr>
          <w:rFonts w:ascii="Trebuchet MS" w:hAnsi="Trebuchet MS" w:cs="Arial"/>
          <w:color w:val="5F5F5F"/>
          <w:sz w:val="20"/>
          <w:szCs w:val="20"/>
        </w:rPr>
        <w:t>,</w:t>
      </w:r>
      <w:r w:rsidR="005A6768" w:rsidRPr="006E2636">
        <w:rPr>
          <w:rFonts w:ascii="Trebuchet MS" w:hAnsi="Trebuchet MS" w:cs="Arial"/>
          <w:color w:val="5F5F5F"/>
          <w:sz w:val="20"/>
          <w:szCs w:val="20"/>
        </w:rPr>
        <w:t xml:space="preserve"> passando dai 39 mila residenti del 1951 ai 98 mila del 2019</w:t>
      </w:r>
      <w:r w:rsidR="005A6768">
        <w:rPr>
          <w:rFonts w:ascii="Trebuchet MS" w:hAnsi="Trebuchet MS" w:cs="Arial"/>
          <w:color w:val="5F5F5F"/>
          <w:sz w:val="20"/>
          <w:szCs w:val="20"/>
        </w:rPr>
        <w:t>.</w:t>
      </w:r>
    </w:p>
    <w:p w:rsidR="00F400E9" w:rsidRDefault="003E6938" w:rsidP="00E072ED">
      <w:pPr>
        <w:spacing w:before="120" w:after="360"/>
        <w:jc w:val="both"/>
        <w:rPr>
          <w:rFonts w:ascii="Trebuchet MS" w:hAnsi="Trebuchet MS" w:cs="Arial"/>
          <w:color w:val="5F5F5F"/>
          <w:sz w:val="20"/>
          <w:szCs w:val="20"/>
        </w:rPr>
      </w:pPr>
      <w:r w:rsidRPr="00EF7583">
        <w:rPr>
          <w:rFonts w:ascii="Trebuchet MS" w:hAnsi="Trebuchet MS" w:cs="Arial"/>
          <w:color w:val="5F5F5F"/>
          <w:sz w:val="20"/>
          <w:szCs w:val="20"/>
        </w:rPr>
        <w:t xml:space="preserve">Sono invece </w:t>
      </w:r>
      <w:r w:rsidR="009C3644" w:rsidRPr="00EF7583">
        <w:rPr>
          <w:rFonts w:ascii="Trebuchet MS" w:hAnsi="Trebuchet MS" w:cs="Arial"/>
          <w:color w:val="5F5F5F"/>
          <w:sz w:val="20"/>
          <w:szCs w:val="20"/>
        </w:rPr>
        <w:t>47</w:t>
      </w:r>
      <w:r w:rsidRPr="00EF7583">
        <w:rPr>
          <w:rFonts w:ascii="Trebuchet MS" w:hAnsi="Trebuchet MS" w:cs="Arial"/>
          <w:color w:val="5F5F5F"/>
          <w:sz w:val="20"/>
          <w:szCs w:val="20"/>
        </w:rPr>
        <w:t xml:space="preserve"> i comuni che a ogni censimento registrano un calo di popolazione. S</w:t>
      </w:r>
      <w:r w:rsidR="00F400E9" w:rsidRPr="00EF7583">
        <w:rPr>
          <w:rFonts w:ascii="Trebuchet MS" w:hAnsi="Trebuchet MS" w:cs="Arial"/>
          <w:color w:val="5F5F5F"/>
          <w:sz w:val="20"/>
          <w:szCs w:val="20"/>
        </w:rPr>
        <w:t>ono comuni</w:t>
      </w:r>
      <w:r w:rsidRPr="00EF7583">
        <w:rPr>
          <w:rFonts w:ascii="Trebuchet MS" w:hAnsi="Trebuchet MS" w:cs="Arial"/>
          <w:color w:val="5F5F5F"/>
          <w:sz w:val="20"/>
          <w:szCs w:val="20"/>
        </w:rPr>
        <w:t xml:space="preserve"> di piccole o piccolissime dimensioni (</w:t>
      </w:r>
      <w:r w:rsidR="00EF7583" w:rsidRPr="00EF7583">
        <w:rPr>
          <w:rFonts w:ascii="Trebuchet MS" w:hAnsi="Trebuchet MS" w:cs="Arial"/>
          <w:color w:val="5F5F5F"/>
          <w:sz w:val="20"/>
          <w:szCs w:val="20"/>
        </w:rPr>
        <w:t>solo</w:t>
      </w:r>
      <w:r w:rsidRPr="00EF7583">
        <w:rPr>
          <w:rFonts w:ascii="Trebuchet MS" w:hAnsi="Trebuchet MS" w:cs="Arial"/>
          <w:color w:val="5F5F5F"/>
          <w:sz w:val="20"/>
          <w:szCs w:val="20"/>
        </w:rPr>
        <w:t xml:space="preserve"> uno supera i 5 mila</w:t>
      </w:r>
      <w:r w:rsidR="00EF7583" w:rsidRPr="00EF7583">
        <w:rPr>
          <w:rFonts w:ascii="Trebuchet MS" w:hAnsi="Trebuchet MS" w:cs="Arial"/>
          <w:color w:val="5F5F5F"/>
          <w:sz w:val="20"/>
          <w:szCs w:val="20"/>
        </w:rPr>
        <w:t xml:space="preserve"> abitanti</w:t>
      </w:r>
      <w:r w:rsidRPr="00EF7583">
        <w:rPr>
          <w:rFonts w:ascii="Trebuchet MS" w:hAnsi="Trebuchet MS" w:cs="Arial"/>
          <w:color w:val="5F5F5F"/>
          <w:sz w:val="20"/>
          <w:szCs w:val="20"/>
        </w:rPr>
        <w:t xml:space="preserve">), distribuiti </w:t>
      </w:r>
      <w:r w:rsidR="009A491D" w:rsidRPr="00EF7583">
        <w:rPr>
          <w:rFonts w:ascii="Trebuchet MS" w:hAnsi="Trebuchet MS" w:cs="Arial"/>
          <w:color w:val="5F5F5F"/>
          <w:sz w:val="20"/>
          <w:szCs w:val="20"/>
        </w:rPr>
        <w:t xml:space="preserve">per la gran parte </w:t>
      </w:r>
      <w:r w:rsidRPr="00EF7583">
        <w:rPr>
          <w:rFonts w:ascii="Trebuchet MS" w:hAnsi="Trebuchet MS" w:cs="Arial"/>
          <w:color w:val="5F5F5F"/>
          <w:sz w:val="20"/>
          <w:szCs w:val="20"/>
        </w:rPr>
        <w:t xml:space="preserve">nelle zone interne delle province di </w:t>
      </w:r>
      <w:r w:rsidR="00EF7583" w:rsidRPr="00EF7583">
        <w:rPr>
          <w:rFonts w:ascii="Trebuchet MS" w:hAnsi="Trebuchet MS" w:cs="Arial"/>
          <w:color w:val="5F5F5F"/>
          <w:sz w:val="20"/>
          <w:szCs w:val="20"/>
        </w:rPr>
        <w:t>Potenza</w:t>
      </w:r>
      <w:r w:rsidR="009A491D" w:rsidRPr="00EF7583">
        <w:rPr>
          <w:rFonts w:ascii="Trebuchet MS" w:hAnsi="Trebuchet MS" w:cs="Arial"/>
          <w:color w:val="5F5F5F"/>
          <w:sz w:val="20"/>
          <w:szCs w:val="20"/>
        </w:rPr>
        <w:t xml:space="preserve"> (3</w:t>
      </w:r>
      <w:r w:rsidR="00EF7583" w:rsidRPr="00EF7583">
        <w:rPr>
          <w:rFonts w:ascii="Trebuchet MS" w:hAnsi="Trebuchet MS" w:cs="Arial"/>
          <w:color w:val="5F5F5F"/>
          <w:sz w:val="20"/>
          <w:szCs w:val="20"/>
        </w:rPr>
        <w:t>6</w:t>
      </w:r>
      <w:r w:rsidR="00923684">
        <w:rPr>
          <w:rFonts w:ascii="Trebuchet MS" w:hAnsi="Trebuchet MS" w:cs="Arial"/>
          <w:color w:val="5F5F5F"/>
          <w:sz w:val="20"/>
          <w:szCs w:val="20"/>
        </w:rPr>
        <w:t>)</w:t>
      </w:r>
      <w:r w:rsidRPr="00EF7583">
        <w:rPr>
          <w:rFonts w:ascii="Trebuchet MS" w:hAnsi="Trebuchet MS" w:cs="Arial"/>
          <w:color w:val="5F5F5F"/>
          <w:sz w:val="20"/>
          <w:szCs w:val="20"/>
        </w:rPr>
        <w:t xml:space="preserve">e </w:t>
      </w:r>
      <w:r w:rsidR="00EF7583" w:rsidRPr="00EF7583">
        <w:rPr>
          <w:rFonts w:ascii="Trebuchet MS" w:hAnsi="Trebuchet MS" w:cs="Arial"/>
          <w:color w:val="5F5F5F"/>
          <w:sz w:val="20"/>
          <w:szCs w:val="20"/>
        </w:rPr>
        <w:t>Matera</w:t>
      </w:r>
      <w:r w:rsidR="009A491D" w:rsidRPr="00EF7583">
        <w:rPr>
          <w:rFonts w:ascii="Trebuchet MS" w:hAnsi="Trebuchet MS" w:cs="Arial"/>
          <w:color w:val="5F5F5F"/>
          <w:sz w:val="20"/>
          <w:szCs w:val="20"/>
        </w:rPr>
        <w:t xml:space="preserve"> (</w:t>
      </w:r>
      <w:r w:rsidR="00EF7583" w:rsidRPr="00EF7583">
        <w:rPr>
          <w:rFonts w:ascii="Trebuchet MS" w:hAnsi="Trebuchet MS" w:cs="Arial"/>
          <w:color w:val="5F5F5F"/>
          <w:sz w:val="20"/>
          <w:szCs w:val="20"/>
        </w:rPr>
        <w:t>11</w:t>
      </w:r>
      <w:r w:rsidR="009A491D" w:rsidRPr="00EF7583">
        <w:rPr>
          <w:rFonts w:ascii="Trebuchet MS" w:hAnsi="Trebuchet MS" w:cs="Arial"/>
          <w:color w:val="5F5F5F"/>
          <w:sz w:val="20"/>
          <w:szCs w:val="20"/>
        </w:rPr>
        <w:t>)</w:t>
      </w:r>
      <w:r w:rsidRPr="00EF7583">
        <w:rPr>
          <w:rFonts w:ascii="Trebuchet MS" w:hAnsi="Trebuchet MS" w:cs="Arial"/>
          <w:color w:val="5F5F5F"/>
          <w:sz w:val="20"/>
          <w:szCs w:val="20"/>
        </w:rPr>
        <w:t xml:space="preserve">. In questi comuni </w:t>
      </w:r>
      <w:r w:rsidR="002C781A" w:rsidRPr="00EF7583">
        <w:rPr>
          <w:rFonts w:ascii="Trebuchet MS" w:hAnsi="Trebuchet MS" w:cs="Arial"/>
          <w:color w:val="5F5F5F"/>
          <w:sz w:val="20"/>
          <w:szCs w:val="20"/>
        </w:rPr>
        <w:t>si contano</w:t>
      </w:r>
      <w:r w:rsidR="00437DF2" w:rsidRPr="00EF7583">
        <w:rPr>
          <w:rFonts w:ascii="Trebuchet MS" w:hAnsi="Trebuchet MS" w:cs="Arial"/>
          <w:color w:val="5F5F5F"/>
          <w:sz w:val="20"/>
          <w:szCs w:val="20"/>
        </w:rPr>
        <w:t>,</w:t>
      </w:r>
      <w:r w:rsidR="002C781A" w:rsidRPr="00EF7583">
        <w:rPr>
          <w:rFonts w:ascii="Trebuchet MS" w:hAnsi="Trebuchet MS" w:cs="Arial"/>
          <w:color w:val="5F5F5F"/>
          <w:sz w:val="20"/>
          <w:szCs w:val="20"/>
        </w:rPr>
        <w:t xml:space="preserve">nel </w:t>
      </w:r>
      <w:r w:rsidRPr="00EF7583">
        <w:rPr>
          <w:rFonts w:ascii="Trebuchet MS" w:hAnsi="Trebuchet MS" w:cs="Arial"/>
          <w:color w:val="5F5F5F"/>
          <w:sz w:val="20"/>
          <w:szCs w:val="20"/>
        </w:rPr>
        <w:t>2019</w:t>
      </w:r>
      <w:r w:rsidR="00437DF2" w:rsidRPr="00EF7583">
        <w:rPr>
          <w:rFonts w:ascii="Trebuchet MS" w:hAnsi="Trebuchet MS" w:cs="Arial"/>
          <w:color w:val="5F5F5F"/>
          <w:sz w:val="20"/>
          <w:szCs w:val="20"/>
        </w:rPr>
        <w:t>,</w:t>
      </w:r>
      <w:r w:rsidR="00EF7583" w:rsidRPr="00EF7583">
        <w:rPr>
          <w:rFonts w:ascii="Trebuchet MS" w:hAnsi="Trebuchet MS" w:cs="Arial"/>
          <w:color w:val="5F5F5F"/>
          <w:sz w:val="20"/>
          <w:szCs w:val="20"/>
        </w:rPr>
        <w:t>77</w:t>
      </w:r>
      <w:r w:rsidR="002C781A" w:rsidRPr="00EF7583">
        <w:rPr>
          <w:rFonts w:ascii="Trebuchet MS" w:hAnsi="Trebuchet MS" w:cs="Arial"/>
          <w:color w:val="5F5F5F"/>
          <w:sz w:val="20"/>
          <w:szCs w:val="20"/>
        </w:rPr>
        <w:t xml:space="preserve"> mila residenti</w:t>
      </w:r>
      <w:r w:rsidR="00B7555D" w:rsidRPr="00EF7583">
        <w:rPr>
          <w:rFonts w:ascii="Trebuchet MS" w:hAnsi="Trebuchet MS" w:cs="Arial"/>
          <w:color w:val="5F5F5F"/>
          <w:sz w:val="20"/>
          <w:szCs w:val="20"/>
        </w:rPr>
        <w:t>;</w:t>
      </w:r>
      <w:r w:rsidR="002C781A" w:rsidRPr="00EF7583">
        <w:rPr>
          <w:rFonts w:ascii="Trebuchet MS" w:hAnsi="Trebuchet MS" w:cs="Arial"/>
          <w:color w:val="5F5F5F"/>
          <w:sz w:val="20"/>
          <w:szCs w:val="20"/>
        </w:rPr>
        <w:t xml:space="preserve"> nel 1951 erano </w:t>
      </w:r>
      <w:r w:rsidR="00EF7583" w:rsidRPr="00EF7583">
        <w:rPr>
          <w:rFonts w:ascii="Trebuchet MS" w:hAnsi="Trebuchet MS" w:cs="Arial"/>
          <w:color w:val="5F5F5F"/>
          <w:sz w:val="20"/>
          <w:szCs w:val="20"/>
        </w:rPr>
        <w:t>più de</w:t>
      </w:r>
      <w:r w:rsidR="00284D0D" w:rsidRPr="00EF7583">
        <w:rPr>
          <w:rFonts w:ascii="Trebuchet MS" w:hAnsi="Trebuchet MS" w:cs="Arial"/>
          <w:color w:val="5F5F5F"/>
          <w:sz w:val="20"/>
          <w:szCs w:val="20"/>
        </w:rPr>
        <w:t>l doppio (</w:t>
      </w:r>
      <w:r w:rsidR="00EF7583" w:rsidRPr="00EF7583">
        <w:rPr>
          <w:rFonts w:ascii="Trebuchet MS" w:hAnsi="Trebuchet MS" w:cs="Arial"/>
          <w:color w:val="5F5F5F"/>
          <w:sz w:val="20"/>
          <w:szCs w:val="20"/>
        </w:rPr>
        <w:t>172</w:t>
      </w:r>
      <w:r w:rsidR="002C781A" w:rsidRPr="00EF7583">
        <w:rPr>
          <w:rFonts w:ascii="Trebuchet MS" w:hAnsi="Trebuchet MS" w:cs="Arial"/>
          <w:color w:val="5F5F5F"/>
          <w:sz w:val="20"/>
          <w:szCs w:val="20"/>
        </w:rPr>
        <w:t xml:space="preserve"> mila</w:t>
      </w:r>
      <w:r w:rsidR="00284D0D" w:rsidRPr="00EF7583">
        <w:rPr>
          <w:rFonts w:ascii="Trebuchet MS" w:hAnsi="Trebuchet MS" w:cs="Arial"/>
          <w:color w:val="5F5F5F"/>
          <w:sz w:val="20"/>
          <w:szCs w:val="20"/>
        </w:rPr>
        <w:t>)</w:t>
      </w:r>
      <w:r w:rsidR="002C781A" w:rsidRPr="00EF7583">
        <w:rPr>
          <w:rFonts w:ascii="Trebuchet MS" w:hAnsi="Trebuchet MS" w:cs="Arial"/>
          <w:color w:val="5F5F5F"/>
          <w:sz w:val="20"/>
          <w:szCs w:val="20"/>
        </w:rPr>
        <w:t>.</w:t>
      </w:r>
    </w:p>
    <w:tbl>
      <w:tblPr>
        <w:tblStyle w:val="Grigliatabella"/>
        <w:tblW w:w="5000" w:type="pct"/>
        <w:tblBorders>
          <w:top w:val="none" w:sz="0" w:space="0" w:color="auto"/>
          <w:insideV w:val="none" w:sz="0" w:space="0" w:color="auto"/>
        </w:tblBorders>
        <w:tblLayout w:type="fixed"/>
        <w:tblLook w:val="04A0"/>
      </w:tblPr>
      <w:tblGrid>
        <w:gridCol w:w="4927"/>
        <w:gridCol w:w="4927"/>
      </w:tblGrid>
      <w:tr w:rsidR="003C344E" w:rsidTr="00F32911">
        <w:trPr>
          <w:trHeight w:val="475"/>
        </w:trPr>
        <w:tc>
          <w:tcPr>
            <w:tcW w:w="4819" w:type="dxa"/>
            <w:tcBorders>
              <w:top w:val="nil"/>
              <w:left w:val="nil"/>
              <w:bottom w:val="single" w:sz="4" w:space="0" w:color="D9D9D9" w:themeColor="background1" w:themeShade="D9"/>
              <w:right w:val="nil"/>
            </w:tcBorders>
          </w:tcPr>
          <w:p w:rsidR="003C344E" w:rsidRPr="00710C34" w:rsidRDefault="003C344E" w:rsidP="00024F86">
            <w:pPr>
              <w:spacing w:after="120"/>
              <w:jc w:val="both"/>
              <w:rPr>
                <w:rFonts w:ascii="Arial Narrow" w:hAnsi="Arial Narrow"/>
                <w:b/>
                <w:bCs/>
                <w:color w:val="595959" w:themeColor="text1" w:themeTint="A6"/>
                <w:sz w:val="22"/>
                <w:szCs w:val="22"/>
              </w:rPr>
            </w:pPr>
            <w:r w:rsidRPr="00710C34">
              <w:rPr>
                <w:rFonts w:ascii="Arial Narrow" w:hAnsi="Arial Narrow"/>
                <w:b/>
                <w:bCs/>
                <w:color w:val="595959" w:themeColor="text1" w:themeTint="A6"/>
                <w:sz w:val="22"/>
                <w:szCs w:val="22"/>
              </w:rPr>
              <w:lastRenderedPageBreak/>
              <w:t>FIGURA 2.</w:t>
            </w:r>
            <w:r w:rsidRPr="00710C34">
              <w:rPr>
                <w:rFonts w:ascii="Arial Narrow" w:hAnsi="Arial Narrow"/>
                <w:color w:val="595959" w:themeColor="text1" w:themeTint="A6"/>
                <w:sz w:val="22"/>
                <w:szCs w:val="22"/>
              </w:rPr>
              <w:t>TENDENZA DEMOGRAFICA DEI COMUNI DAL 1951 AL 2019</w:t>
            </w:r>
            <w:r w:rsidRPr="00710C34">
              <w:rPr>
                <w:rStyle w:val="Rimandonotaapidipagina"/>
                <w:rFonts w:ascii="Trebuchet MS" w:hAnsi="Trebuchet MS" w:cs="Arial"/>
                <w:color w:val="595959" w:themeColor="text1" w:themeTint="A6"/>
                <w:sz w:val="22"/>
                <w:szCs w:val="22"/>
              </w:rPr>
              <w:footnoteReference w:id="5"/>
            </w:r>
          </w:p>
        </w:tc>
        <w:tc>
          <w:tcPr>
            <w:tcW w:w="4819" w:type="dxa"/>
            <w:tcBorders>
              <w:top w:val="nil"/>
              <w:left w:val="nil"/>
              <w:bottom w:val="single" w:sz="4" w:space="0" w:color="D9D9D9" w:themeColor="background1" w:themeShade="D9"/>
              <w:right w:val="nil"/>
            </w:tcBorders>
          </w:tcPr>
          <w:p w:rsidR="003C344E" w:rsidRPr="00710C34" w:rsidRDefault="003C344E" w:rsidP="005837FD">
            <w:pPr>
              <w:jc w:val="both"/>
              <w:rPr>
                <w:rFonts w:ascii="Arial Narrow" w:hAnsi="Arial Narrow"/>
                <w:b/>
                <w:bCs/>
                <w:color w:val="595959" w:themeColor="text1" w:themeTint="A6"/>
                <w:sz w:val="22"/>
                <w:szCs w:val="22"/>
              </w:rPr>
            </w:pPr>
            <w:r w:rsidRPr="00710C34">
              <w:rPr>
                <w:rFonts w:ascii="Arial Narrow" w:hAnsi="Arial Narrow"/>
                <w:b/>
                <w:bCs/>
                <w:color w:val="595959" w:themeColor="text1" w:themeTint="A6"/>
                <w:sz w:val="22"/>
                <w:szCs w:val="22"/>
              </w:rPr>
              <w:t>FIGURA 3.</w:t>
            </w:r>
            <w:r w:rsidRPr="00710C34">
              <w:rPr>
                <w:rFonts w:ascii="Arial Narrow" w:hAnsi="Arial Narrow"/>
                <w:caps/>
                <w:color w:val="595959" w:themeColor="text1" w:themeTint="A6"/>
                <w:sz w:val="22"/>
                <w:szCs w:val="22"/>
              </w:rPr>
              <w:t>Popolazione per classe di ampiezza demografica dei comuni</w:t>
            </w:r>
            <w:r w:rsidRPr="00710C34">
              <w:rPr>
                <w:rFonts w:ascii="Arial Narrow" w:hAnsi="Arial Narrow"/>
                <w:color w:val="595959" w:themeColor="text1" w:themeTint="A6"/>
                <w:sz w:val="22"/>
                <w:szCs w:val="22"/>
              </w:rPr>
              <w:t xml:space="preserve">. </w:t>
            </w:r>
            <w:r w:rsidRPr="00710C34">
              <w:rPr>
                <w:rFonts w:ascii="Arial Narrow" w:hAnsi="Arial Narrow"/>
                <w:color w:val="595959" w:themeColor="text1" w:themeTint="A6"/>
                <w:sz w:val="20"/>
                <w:szCs w:val="20"/>
              </w:rPr>
              <w:t>Censimenti 2019 e 1951</w:t>
            </w:r>
          </w:p>
        </w:tc>
      </w:tr>
      <w:tr w:rsidR="003C344E" w:rsidTr="00D630C7">
        <w:tblPrEx>
          <w:tblCellMar>
            <w:left w:w="70" w:type="dxa"/>
            <w:right w:w="70" w:type="dxa"/>
          </w:tblCellMar>
        </w:tblPrEx>
        <w:trPr>
          <w:trHeight w:val="3402"/>
        </w:trPr>
        <w:tc>
          <w:tcPr>
            <w:tcW w:w="481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3C344E" w:rsidRPr="00B162C7" w:rsidRDefault="002174A0" w:rsidP="00B67BFA">
            <w:pPr>
              <w:spacing w:after="120"/>
              <w:jc w:val="center"/>
              <w:rPr>
                <w:rFonts w:ascii="Arial Narrow" w:hAnsi="Arial Narrow"/>
                <w:b/>
                <w:bCs/>
                <w:color w:val="404040" w:themeColor="text1" w:themeTint="BF"/>
                <w:sz w:val="22"/>
                <w:szCs w:val="22"/>
              </w:rPr>
            </w:pPr>
            <w:r>
              <w:rPr>
                <w:rFonts w:ascii="Arial Narrow" w:hAnsi="Arial Narrow"/>
                <w:b/>
                <w:bCs/>
                <w:noProof/>
                <w:color w:val="404040" w:themeColor="text1" w:themeTint="BF"/>
                <w:sz w:val="22"/>
                <w:szCs w:val="22"/>
              </w:rPr>
              <w:drawing>
                <wp:inline distT="0" distB="0" distL="0" distR="0">
                  <wp:extent cx="3059836" cy="2160000"/>
                  <wp:effectExtent l="0" t="0" r="762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_2_17_Campania.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59836" cy="2160000"/>
                          </a:xfrm>
                          <a:prstGeom prst="rect">
                            <a:avLst/>
                          </a:prstGeom>
                        </pic:spPr>
                      </pic:pic>
                    </a:graphicData>
                  </a:graphic>
                </wp:inline>
              </w:drawing>
            </w:r>
          </w:p>
        </w:tc>
        <w:tc>
          <w:tcPr>
            <w:tcW w:w="481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3C344E" w:rsidRDefault="00D630C7" w:rsidP="004845D3">
            <w:pPr>
              <w:spacing w:after="120"/>
              <w:jc w:val="both"/>
              <w:rPr>
                <w:rFonts w:ascii="Trebuchet MS" w:hAnsi="Trebuchet MS" w:cs="Arial"/>
                <w:color w:val="5F5F5F"/>
                <w:sz w:val="22"/>
                <w:szCs w:val="22"/>
              </w:rPr>
            </w:pPr>
            <w:r>
              <w:rPr>
                <w:noProof/>
              </w:rPr>
              <w:drawing>
                <wp:inline distT="0" distB="0" distL="0" distR="0">
                  <wp:extent cx="3060000" cy="2160000"/>
                  <wp:effectExtent l="0" t="0" r="7620" b="0"/>
                  <wp:docPr id="11" name="Grafico 1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bl>
    <w:p w:rsidR="009C763E" w:rsidRPr="00AE3F83" w:rsidRDefault="007177F4" w:rsidP="005B5D9A">
      <w:pPr>
        <w:spacing w:before="600" w:after="120"/>
        <w:jc w:val="both"/>
        <w:rPr>
          <w:rFonts w:ascii="Trebuchet MS" w:hAnsi="Trebuchet MS" w:cs="Arial"/>
          <w:b/>
          <w:color w:val="5F5F5F"/>
          <w:sz w:val="21"/>
          <w:szCs w:val="21"/>
        </w:rPr>
      </w:pPr>
      <w:r w:rsidRPr="00AE3F83">
        <w:rPr>
          <w:rFonts w:ascii="Trebuchet MS" w:hAnsi="Trebuchet MS" w:cs="Arial"/>
          <w:b/>
          <w:color w:val="5F5F5F"/>
          <w:sz w:val="21"/>
          <w:szCs w:val="21"/>
        </w:rPr>
        <w:t xml:space="preserve">La struttura </w:t>
      </w:r>
      <w:r w:rsidR="009C763E" w:rsidRPr="00AE3F83">
        <w:rPr>
          <w:rFonts w:ascii="Trebuchet MS" w:hAnsi="Trebuchet MS" w:cs="Arial"/>
          <w:b/>
          <w:color w:val="5F5F5F"/>
          <w:sz w:val="21"/>
          <w:szCs w:val="21"/>
        </w:rPr>
        <w:t xml:space="preserve">della popolazione per </w:t>
      </w:r>
      <w:r w:rsidRPr="00AE3F83">
        <w:rPr>
          <w:rFonts w:ascii="Trebuchet MS" w:hAnsi="Trebuchet MS" w:cs="Arial"/>
          <w:b/>
          <w:color w:val="5F5F5F"/>
          <w:sz w:val="21"/>
          <w:szCs w:val="21"/>
        </w:rPr>
        <w:t>genere</w:t>
      </w:r>
      <w:r w:rsidR="009C763E" w:rsidRPr="00AE3F83">
        <w:rPr>
          <w:rFonts w:ascii="Trebuchet MS" w:hAnsi="Trebuchet MS" w:cs="Arial"/>
          <w:b/>
          <w:color w:val="5F5F5F"/>
          <w:sz w:val="21"/>
          <w:szCs w:val="21"/>
        </w:rPr>
        <w:t xml:space="preserve"> ed età</w:t>
      </w:r>
    </w:p>
    <w:p w:rsidR="007177F4" w:rsidRPr="00B96AC8" w:rsidRDefault="007177F4" w:rsidP="007177F4">
      <w:pPr>
        <w:spacing w:after="120"/>
        <w:jc w:val="both"/>
        <w:rPr>
          <w:rFonts w:ascii="Trebuchet MS" w:hAnsi="Trebuchet MS" w:cs="Arial"/>
          <w:color w:val="5F5F5F"/>
          <w:sz w:val="20"/>
          <w:szCs w:val="20"/>
        </w:rPr>
      </w:pPr>
      <w:r w:rsidRPr="00B96AC8">
        <w:rPr>
          <w:rFonts w:ascii="Trebuchet MS" w:hAnsi="Trebuchet MS" w:cs="Arial"/>
          <w:color w:val="5F5F5F"/>
          <w:sz w:val="20"/>
          <w:szCs w:val="20"/>
        </w:rPr>
        <w:t xml:space="preserve">La struttura per genere della popolazione residente si caratterizza per una maggiore presenza della componente femminile. </w:t>
      </w:r>
      <w:r w:rsidR="00C13C1A" w:rsidRPr="00B96AC8">
        <w:rPr>
          <w:rFonts w:ascii="Trebuchet MS" w:hAnsi="Trebuchet MS" w:cs="Arial"/>
          <w:color w:val="5F5F5F"/>
          <w:sz w:val="20"/>
          <w:szCs w:val="20"/>
        </w:rPr>
        <w:t>Ne</w:t>
      </w:r>
      <w:r w:rsidRPr="00B96AC8">
        <w:rPr>
          <w:rFonts w:ascii="Trebuchet MS" w:hAnsi="Trebuchet MS" w:cs="Arial"/>
          <w:color w:val="5F5F5F"/>
          <w:sz w:val="20"/>
          <w:szCs w:val="20"/>
        </w:rPr>
        <w:t xml:space="preserve">l 2019 le donne sono </w:t>
      </w:r>
      <w:r w:rsidR="006476EA" w:rsidRPr="00B96AC8">
        <w:rPr>
          <w:rFonts w:ascii="Trebuchet MS" w:hAnsi="Trebuchet MS" w:cs="Arial"/>
          <w:color w:val="5F5F5F"/>
          <w:sz w:val="20"/>
          <w:szCs w:val="20"/>
        </w:rPr>
        <w:t>281 mila</w:t>
      </w:r>
      <w:r w:rsidRPr="00B96AC8">
        <w:rPr>
          <w:rFonts w:ascii="Trebuchet MS" w:hAnsi="Trebuchet MS" w:cs="Arial"/>
          <w:color w:val="5F5F5F"/>
          <w:sz w:val="20"/>
          <w:szCs w:val="20"/>
        </w:rPr>
        <w:t>- il 5</w:t>
      </w:r>
      <w:r w:rsidR="006476EA" w:rsidRPr="00B96AC8">
        <w:rPr>
          <w:rFonts w:ascii="Trebuchet MS" w:hAnsi="Trebuchet MS" w:cs="Arial"/>
          <w:color w:val="5F5F5F"/>
          <w:sz w:val="20"/>
          <w:szCs w:val="20"/>
        </w:rPr>
        <w:t>0</w:t>
      </w:r>
      <w:r w:rsidRPr="00B96AC8">
        <w:rPr>
          <w:rFonts w:ascii="Trebuchet MS" w:hAnsi="Trebuchet MS" w:cs="Arial"/>
          <w:color w:val="5F5F5F"/>
          <w:sz w:val="20"/>
          <w:szCs w:val="20"/>
        </w:rPr>
        <w:t>,</w:t>
      </w:r>
      <w:r w:rsidR="006476EA" w:rsidRPr="00B96AC8">
        <w:rPr>
          <w:rFonts w:ascii="Trebuchet MS" w:hAnsi="Trebuchet MS" w:cs="Arial"/>
          <w:color w:val="5F5F5F"/>
          <w:sz w:val="20"/>
          <w:szCs w:val="20"/>
        </w:rPr>
        <w:t>8</w:t>
      </w:r>
      <w:r w:rsidRPr="00B96AC8">
        <w:rPr>
          <w:rFonts w:ascii="Trebuchet MS" w:hAnsi="Trebuchet MS" w:cs="Arial"/>
          <w:color w:val="5F5F5F"/>
          <w:sz w:val="20"/>
          <w:szCs w:val="20"/>
        </w:rPr>
        <w:t xml:space="preserve">% del totale - e superano gli uomini di </w:t>
      </w:r>
      <w:r w:rsidR="007E379E">
        <w:rPr>
          <w:rFonts w:ascii="Trebuchet MS" w:hAnsi="Trebuchet MS" w:cs="Arial"/>
          <w:color w:val="5F5F5F"/>
          <w:sz w:val="20"/>
          <w:szCs w:val="20"/>
        </w:rPr>
        <w:br/>
      </w:r>
      <w:r w:rsidR="006476EA" w:rsidRPr="00B96AC8">
        <w:rPr>
          <w:rFonts w:ascii="Trebuchet MS" w:hAnsi="Trebuchet MS" w:cs="Arial"/>
          <w:color w:val="5F5F5F"/>
          <w:sz w:val="20"/>
          <w:szCs w:val="20"/>
        </w:rPr>
        <w:t>9</w:t>
      </w:r>
      <w:r w:rsidR="00BD547D" w:rsidRPr="00B96AC8">
        <w:rPr>
          <w:rFonts w:ascii="Trebuchet MS" w:hAnsi="Trebuchet MS" w:cs="Arial"/>
          <w:color w:val="5F5F5F"/>
          <w:sz w:val="20"/>
          <w:szCs w:val="20"/>
        </w:rPr>
        <w:t>mila</w:t>
      </w:r>
      <w:r w:rsidRPr="00B96AC8">
        <w:rPr>
          <w:rFonts w:ascii="Trebuchet MS" w:hAnsi="Trebuchet MS" w:cs="Arial"/>
          <w:color w:val="5F5F5F"/>
          <w:sz w:val="20"/>
          <w:szCs w:val="20"/>
        </w:rPr>
        <w:t xml:space="preserve"> unità. Il maggior </w:t>
      </w:r>
      <w:r w:rsidR="00B96AC8" w:rsidRPr="00B96AC8">
        <w:rPr>
          <w:rFonts w:ascii="Trebuchet MS" w:hAnsi="Trebuchet MS" w:cs="Arial"/>
          <w:color w:val="5F5F5F"/>
          <w:sz w:val="20"/>
          <w:szCs w:val="20"/>
        </w:rPr>
        <w:t xml:space="preserve">equilibrio fra i sessi </w:t>
      </w:r>
      <w:r w:rsidRPr="00B96AC8">
        <w:rPr>
          <w:rFonts w:ascii="Trebuchet MS" w:hAnsi="Trebuchet MS" w:cs="Arial"/>
          <w:color w:val="5F5F5F"/>
          <w:sz w:val="20"/>
          <w:szCs w:val="20"/>
        </w:rPr>
        <w:t xml:space="preserve">fa </w:t>
      </w:r>
      <w:r w:rsidR="00B96AC8" w:rsidRPr="00B96AC8">
        <w:rPr>
          <w:rFonts w:ascii="Trebuchet MS" w:hAnsi="Trebuchet MS" w:cs="Arial"/>
          <w:color w:val="5F5F5F"/>
          <w:sz w:val="20"/>
          <w:szCs w:val="20"/>
        </w:rPr>
        <w:t>sì che in Basilicata ci siano 97 uomini ogni 100 donne</w:t>
      </w:r>
      <w:r w:rsidR="00BD547D" w:rsidRPr="00B96AC8">
        <w:rPr>
          <w:rFonts w:ascii="Trebuchet MS" w:hAnsi="Trebuchet MS" w:cs="Arial"/>
          <w:color w:val="5F5F5F"/>
          <w:sz w:val="20"/>
          <w:szCs w:val="20"/>
        </w:rPr>
        <w:t xml:space="preserve">, </w:t>
      </w:r>
      <w:r w:rsidR="00B96AC8" w:rsidRPr="00B96AC8">
        <w:rPr>
          <w:rFonts w:ascii="Trebuchet MS" w:hAnsi="Trebuchet MS" w:cs="Arial"/>
          <w:color w:val="5F5F5F"/>
          <w:sz w:val="20"/>
          <w:szCs w:val="20"/>
        </w:rPr>
        <w:t>contro i 95 dell’</w:t>
      </w:r>
      <w:r w:rsidR="00BD547D" w:rsidRPr="00B96AC8">
        <w:rPr>
          <w:rFonts w:ascii="Trebuchet MS" w:hAnsi="Trebuchet MS" w:cs="Arial"/>
          <w:color w:val="5F5F5F"/>
          <w:sz w:val="20"/>
          <w:szCs w:val="20"/>
        </w:rPr>
        <w:t>Italia</w:t>
      </w:r>
      <w:r w:rsidRPr="00B96AC8">
        <w:rPr>
          <w:rFonts w:ascii="Trebuchet MS" w:hAnsi="Trebuchet MS" w:cs="Arial"/>
          <w:color w:val="5F5F5F"/>
          <w:sz w:val="20"/>
          <w:szCs w:val="20"/>
        </w:rPr>
        <w:t xml:space="preserve">. </w:t>
      </w:r>
      <w:r w:rsidR="00B96AC8" w:rsidRPr="00B96AC8">
        <w:rPr>
          <w:rFonts w:ascii="Trebuchet MS" w:hAnsi="Trebuchet MS" w:cs="Arial"/>
          <w:color w:val="5F5F5F"/>
          <w:sz w:val="20"/>
          <w:szCs w:val="20"/>
        </w:rPr>
        <w:t>L</w:t>
      </w:r>
      <w:r w:rsidRPr="00B96AC8">
        <w:rPr>
          <w:rFonts w:ascii="Trebuchet MS" w:hAnsi="Trebuchet MS" w:cs="Arial"/>
          <w:color w:val="5F5F5F"/>
          <w:sz w:val="20"/>
          <w:szCs w:val="20"/>
        </w:rPr>
        <w:t xml:space="preserve">a struttura di genere è in maggiore equilibrio rispetto al 2011, quando il rapporto di mascolinità era al </w:t>
      </w:r>
      <w:r w:rsidR="00BD547D" w:rsidRPr="00B96AC8">
        <w:rPr>
          <w:rFonts w:ascii="Trebuchet MS" w:hAnsi="Trebuchet MS" w:cs="Arial"/>
          <w:color w:val="5F5F5F"/>
          <w:sz w:val="20"/>
          <w:szCs w:val="20"/>
        </w:rPr>
        <w:t>9</w:t>
      </w:r>
      <w:r w:rsidR="00B96AC8" w:rsidRPr="00B96AC8">
        <w:rPr>
          <w:rFonts w:ascii="Trebuchet MS" w:hAnsi="Trebuchet MS" w:cs="Arial"/>
          <w:color w:val="5F5F5F"/>
          <w:sz w:val="20"/>
          <w:szCs w:val="20"/>
        </w:rPr>
        <w:t>5,8</w:t>
      </w:r>
      <w:r w:rsidRPr="00B96AC8">
        <w:rPr>
          <w:rFonts w:ascii="Trebuchet MS" w:hAnsi="Trebuchet MS" w:cs="Arial"/>
          <w:color w:val="5F5F5F"/>
          <w:sz w:val="20"/>
          <w:szCs w:val="20"/>
        </w:rPr>
        <w:t>%.</w:t>
      </w:r>
    </w:p>
    <w:p w:rsidR="008E0A0A" w:rsidRDefault="00B96AC8" w:rsidP="00C52AF9">
      <w:pPr>
        <w:spacing w:after="120"/>
        <w:jc w:val="both"/>
        <w:rPr>
          <w:rFonts w:ascii="Arial Narrow" w:hAnsi="Arial Narrow"/>
          <w:b/>
          <w:bCs/>
          <w:color w:val="595959" w:themeColor="text1" w:themeTint="A6"/>
          <w:sz w:val="22"/>
          <w:szCs w:val="22"/>
        </w:rPr>
      </w:pPr>
      <w:r w:rsidRPr="00B96AC8">
        <w:rPr>
          <w:rFonts w:ascii="Trebuchet MS" w:hAnsi="Trebuchet MS" w:cs="Arial"/>
          <w:color w:val="5F5F5F"/>
          <w:sz w:val="20"/>
          <w:szCs w:val="20"/>
        </w:rPr>
        <w:t xml:space="preserve">A livello provinciale non ci sono </w:t>
      </w:r>
      <w:r w:rsidR="007177F4" w:rsidRPr="00B96AC8">
        <w:rPr>
          <w:rFonts w:ascii="Trebuchet MS" w:hAnsi="Trebuchet MS" w:cs="Arial"/>
          <w:color w:val="5F5F5F"/>
          <w:sz w:val="20"/>
          <w:szCs w:val="20"/>
        </w:rPr>
        <w:t>differenze significative</w:t>
      </w:r>
      <w:r w:rsidRPr="00B96AC8">
        <w:rPr>
          <w:rFonts w:ascii="Trebuchet MS" w:hAnsi="Trebuchet MS" w:cs="Arial"/>
          <w:color w:val="5F5F5F"/>
          <w:sz w:val="20"/>
          <w:szCs w:val="20"/>
        </w:rPr>
        <w:t>, i</w:t>
      </w:r>
      <w:r w:rsidR="007177F4" w:rsidRPr="00B96AC8">
        <w:rPr>
          <w:rFonts w:ascii="Trebuchet MS" w:hAnsi="Trebuchet MS" w:cs="Arial"/>
          <w:color w:val="5F5F5F"/>
          <w:sz w:val="20"/>
          <w:szCs w:val="20"/>
        </w:rPr>
        <w:t xml:space="preserve">l rapporto di mascolinità </w:t>
      </w:r>
      <w:r w:rsidRPr="00B96AC8">
        <w:rPr>
          <w:rFonts w:ascii="Trebuchet MS" w:hAnsi="Trebuchet MS" w:cs="Arial"/>
          <w:color w:val="5F5F5F"/>
          <w:sz w:val="20"/>
          <w:szCs w:val="20"/>
        </w:rPr>
        <w:t>è pari a 96,9%aPotenza e a 96,8% aMatera</w:t>
      </w:r>
      <w:r w:rsidR="007177F4" w:rsidRPr="00B96AC8">
        <w:rPr>
          <w:rFonts w:ascii="Trebuchet MS" w:hAnsi="Trebuchet MS" w:cs="Arial"/>
          <w:color w:val="5F5F5F"/>
          <w:sz w:val="20"/>
          <w:szCs w:val="20"/>
        </w:rPr>
        <w:t xml:space="preserve">. </w:t>
      </w:r>
      <w:r w:rsidR="007177F4" w:rsidRPr="00C52AF9">
        <w:rPr>
          <w:rFonts w:ascii="Trebuchet MS" w:hAnsi="Trebuchet MS" w:cs="Arial"/>
          <w:color w:val="5F5F5F"/>
          <w:sz w:val="20"/>
          <w:szCs w:val="20"/>
        </w:rPr>
        <w:t xml:space="preserve">Ci sono però </w:t>
      </w:r>
      <w:r w:rsidR="00AC3DDE" w:rsidRPr="00C52AF9">
        <w:rPr>
          <w:rFonts w:ascii="Trebuchet MS" w:hAnsi="Trebuchet MS" w:cs="Arial"/>
          <w:color w:val="5F5F5F"/>
          <w:sz w:val="20"/>
          <w:szCs w:val="20"/>
        </w:rPr>
        <w:t>36</w:t>
      </w:r>
      <w:r w:rsidR="007177F4" w:rsidRPr="00C52AF9">
        <w:rPr>
          <w:rFonts w:ascii="Trebuchet MS" w:hAnsi="Trebuchet MS" w:cs="Arial"/>
          <w:color w:val="5F5F5F"/>
          <w:sz w:val="20"/>
          <w:szCs w:val="20"/>
        </w:rPr>
        <w:t xml:space="preserve"> comuni (il </w:t>
      </w:r>
      <w:r w:rsidR="00AC3DDE" w:rsidRPr="00C52AF9">
        <w:rPr>
          <w:rFonts w:ascii="Trebuchet MS" w:hAnsi="Trebuchet MS" w:cs="Arial"/>
          <w:color w:val="5F5F5F"/>
          <w:sz w:val="20"/>
          <w:szCs w:val="20"/>
        </w:rPr>
        <w:t>27,5</w:t>
      </w:r>
      <w:r w:rsidR="007177F4" w:rsidRPr="00C52AF9">
        <w:rPr>
          <w:rFonts w:ascii="Trebuchet MS" w:hAnsi="Trebuchet MS" w:cs="Arial"/>
          <w:color w:val="5F5F5F"/>
          <w:sz w:val="20"/>
          <w:szCs w:val="20"/>
        </w:rPr>
        <w:t>%</w:t>
      </w:r>
      <w:r w:rsidR="00BD547D" w:rsidRPr="00C52AF9">
        <w:rPr>
          <w:rFonts w:ascii="Trebuchet MS" w:hAnsi="Trebuchet MS" w:cs="Arial"/>
          <w:color w:val="5F5F5F"/>
          <w:sz w:val="20"/>
          <w:szCs w:val="20"/>
        </w:rPr>
        <w:t xml:space="preserve"> dei comuni </w:t>
      </w:r>
      <w:r w:rsidR="00AC3DDE" w:rsidRPr="00C52AF9">
        <w:rPr>
          <w:rFonts w:ascii="Trebuchet MS" w:hAnsi="Trebuchet MS" w:cs="Arial"/>
          <w:color w:val="5F5F5F"/>
          <w:sz w:val="20"/>
          <w:szCs w:val="20"/>
        </w:rPr>
        <w:t>luc</w:t>
      </w:r>
      <w:r w:rsidR="00BD547D" w:rsidRPr="00C52AF9">
        <w:rPr>
          <w:rFonts w:ascii="Trebuchet MS" w:hAnsi="Trebuchet MS" w:cs="Arial"/>
          <w:color w:val="5F5F5F"/>
          <w:sz w:val="20"/>
          <w:szCs w:val="20"/>
        </w:rPr>
        <w:t>ani</w:t>
      </w:r>
      <w:r w:rsidR="007177F4" w:rsidRPr="00C52AF9">
        <w:rPr>
          <w:rFonts w:ascii="Trebuchet MS" w:hAnsi="Trebuchet MS" w:cs="Arial"/>
          <w:color w:val="5F5F5F"/>
          <w:sz w:val="20"/>
          <w:szCs w:val="20"/>
        </w:rPr>
        <w:t>) dove il rapporto di mascolinità risulta sbilanciato a favore della componente maschile, con il primato che spetta a</w:t>
      </w:r>
      <w:r w:rsidR="00027A66" w:rsidRPr="00C52AF9">
        <w:rPr>
          <w:rFonts w:ascii="Trebuchet MS" w:hAnsi="Trebuchet MS" w:cs="Arial"/>
          <w:color w:val="5F5F5F"/>
          <w:sz w:val="20"/>
          <w:szCs w:val="20"/>
        </w:rPr>
        <w:t xml:space="preserve"> due comunidella provincia di </w:t>
      </w:r>
      <w:r w:rsidR="00AC3DDE" w:rsidRPr="00C52AF9">
        <w:rPr>
          <w:rFonts w:ascii="Trebuchet MS" w:hAnsi="Trebuchet MS" w:cs="Arial"/>
          <w:color w:val="5F5F5F"/>
          <w:sz w:val="20"/>
          <w:szCs w:val="20"/>
        </w:rPr>
        <w:t>Potenza</w:t>
      </w:r>
      <w:r w:rsidR="00027A66" w:rsidRPr="00C52AF9">
        <w:rPr>
          <w:rFonts w:ascii="Trebuchet MS" w:hAnsi="Trebuchet MS" w:cs="Arial"/>
          <w:color w:val="5F5F5F"/>
          <w:sz w:val="20"/>
          <w:szCs w:val="20"/>
        </w:rPr>
        <w:t xml:space="preserve">, </w:t>
      </w:r>
      <w:r w:rsidR="00AC3DDE" w:rsidRPr="00C52AF9">
        <w:rPr>
          <w:rFonts w:ascii="Trebuchet MS" w:hAnsi="Trebuchet MS" w:cs="Arial"/>
          <w:color w:val="5F5F5F"/>
          <w:sz w:val="20"/>
          <w:szCs w:val="20"/>
        </w:rPr>
        <w:t>Sasso di Castalda</w:t>
      </w:r>
      <w:r w:rsidR="00027A66" w:rsidRPr="00C52AF9">
        <w:rPr>
          <w:rFonts w:ascii="Trebuchet MS" w:hAnsi="Trebuchet MS" w:cs="Arial"/>
          <w:color w:val="5F5F5F"/>
          <w:sz w:val="20"/>
          <w:szCs w:val="20"/>
        </w:rPr>
        <w:t xml:space="preserve"> (</w:t>
      </w:r>
      <w:r w:rsidR="00AC3DDE" w:rsidRPr="00C52AF9">
        <w:rPr>
          <w:rFonts w:ascii="Trebuchet MS" w:hAnsi="Trebuchet MS" w:cs="Arial"/>
          <w:color w:val="5F5F5F"/>
          <w:sz w:val="20"/>
          <w:szCs w:val="20"/>
        </w:rPr>
        <w:t>11,2</w:t>
      </w:r>
      <w:r w:rsidR="00027A66" w:rsidRPr="00C52AF9">
        <w:rPr>
          <w:rFonts w:ascii="Trebuchet MS" w:hAnsi="Trebuchet MS" w:cs="Arial"/>
          <w:color w:val="5F5F5F"/>
          <w:sz w:val="20"/>
          <w:szCs w:val="20"/>
        </w:rPr>
        <w:t xml:space="preserve">%) e </w:t>
      </w:r>
      <w:r w:rsidR="00AC3DDE" w:rsidRPr="00C52AF9">
        <w:rPr>
          <w:rFonts w:ascii="Trebuchet MS" w:hAnsi="Trebuchet MS" w:cs="Arial"/>
          <w:color w:val="5F5F5F"/>
          <w:sz w:val="20"/>
          <w:szCs w:val="20"/>
        </w:rPr>
        <w:t>Gallicchio</w:t>
      </w:r>
      <w:r w:rsidR="00027A66" w:rsidRPr="00C52AF9">
        <w:rPr>
          <w:rFonts w:ascii="Trebuchet MS" w:hAnsi="Trebuchet MS" w:cs="Arial"/>
          <w:color w:val="5F5F5F"/>
          <w:sz w:val="20"/>
          <w:szCs w:val="20"/>
        </w:rPr>
        <w:t xml:space="preserve"> (</w:t>
      </w:r>
      <w:r w:rsidR="00AC3DDE" w:rsidRPr="00C52AF9">
        <w:rPr>
          <w:rFonts w:ascii="Trebuchet MS" w:hAnsi="Trebuchet MS" w:cs="Arial"/>
          <w:color w:val="5F5F5F"/>
          <w:sz w:val="20"/>
          <w:szCs w:val="20"/>
        </w:rPr>
        <w:t>111,0</w:t>
      </w:r>
      <w:r w:rsidR="00027A66" w:rsidRPr="00C52AF9">
        <w:rPr>
          <w:rFonts w:ascii="Trebuchet MS" w:hAnsi="Trebuchet MS" w:cs="Arial"/>
          <w:color w:val="5F5F5F"/>
          <w:sz w:val="20"/>
          <w:szCs w:val="20"/>
        </w:rPr>
        <w:t xml:space="preserve">%). All’estremo opposto </w:t>
      </w:r>
      <w:r w:rsidR="00284D0D" w:rsidRPr="00C52AF9">
        <w:rPr>
          <w:rFonts w:ascii="Trebuchet MS" w:hAnsi="Trebuchet MS" w:cs="Arial"/>
          <w:color w:val="5F5F5F"/>
          <w:sz w:val="20"/>
          <w:szCs w:val="20"/>
        </w:rPr>
        <w:t>si colloca</w:t>
      </w:r>
      <w:r w:rsidR="00C52AF9" w:rsidRPr="00C52AF9">
        <w:rPr>
          <w:rFonts w:ascii="Trebuchet MS" w:hAnsi="Trebuchet MS" w:cs="Arial"/>
          <w:color w:val="5F5F5F"/>
          <w:sz w:val="20"/>
          <w:szCs w:val="20"/>
        </w:rPr>
        <w:t xml:space="preserve"> Cirigliano, in provincia di Matera (76,7%). </w:t>
      </w:r>
    </w:p>
    <w:p w:rsidR="00B162C7" w:rsidRPr="00710C34" w:rsidRDefault="00B162C7" w:rsidP="00C52AF9">
      <w:pPr>
        <w:keepNext/>
        <w:keepLines/>
        <w:spacing w:before="240" w:after="60"/>
        <w:jc w:val="both"/>
        <w:rPr>
          <w:rFonts w:ascii="Trebuchet MS" w:eastAsia="Calibri" w:hAnsi="Trebuchet MS" w:cs="Arial"/>
          <w:color w:val="595959" w:themeColor="text1" w:themeTint="A6"/>
          <w:sz w:val="18"/>
          <w:szCs w:val="18"/>
        </w:rPr>
      </w:pPr>
      <w:r w:rsidRPr="00710C34">
        <w:rPr>
          <w:rFonts w:ascii="Arial Narrow" w:hAnsi="Arial Narrow"/>
          <w:b/>
          <w:bCs/>
          <w:color w:val="595959" w:themeColor="text1" w:themeTint="A6"/>
          <w:sz w:val="22"/>
          <w:szCs w:val="22"/>
        </w:rPr>
        <w:t>PROSPETTO 2.</w:t>
      </w:r>
      <w:r w:rsidRPr="00710C34">
        <w:rPr>
          <w:rFonts w:ascii="Arial Narrow" w:hAnsi="Arial Narrow"/>
          <w:color w:val="595959" w:themeColor="text1" w:themeTint="A6"/>
          <w:sz w:val="22"/>
          <w:szCs w:val="22"/>
        </w:rPr>
        <w:t xml:space="preserve">POPOLAZIONE </w:t>
      </w:r>
      <w:r w:rsidRPr="004F5935">
        <w:rPr>
          <w:rFonts w:ascii="Arial Narrow" w:hAnsi="Arial Narrow"/>
          <w:color w:val="595959" w:themeColor="text1" w:themeTint="A6"/>
          <w:sz w:val="22"/>
          <w:szCs w:val="22"/>
        </w:rPr>
        <w:t>RESIDENTE P</w:t>
      </w:r>
      <w:r w:rsidRPr="00710C34">
        <w:rPr>
          <w:rFonts w:ascii="Arial Narrow" w:hAnsi="Arial Narrow"/>
          <w:color w:val="595959" w:themeColor="text1" w:themeTint="A6"/>
          <w:sz w:val="22"/>
          <w:szCs w:val="22"/>
        </w:rPr>
        <w:t xml:space="preserve">ER </w:t>
      </w:r>
      <w:r w:rsidR="0010371E">
        <w:rPr>
          <w:rFonts w:ascii="Arial Narrow" w:hAnsi="Arial Narrow"/>
          <w:color w:val="595959" w:themeColor="text1" w:themeTint="A6"/>
          <w:sz w:val="22"/>
          <w:szCs w:val="22"/>
        </w:rPr>
        <w:t>GENERE</w:t>
      </w:r>
      <w:r w:rsidRPr="00710C34">
        <w:rPr>
          <w:rFonts w:ascii="Arial Narrow" w:hAnsi="Arial Narrow"/>
          <w:color w:val="595959" w:themeColor="text1" w:themeTint="A6"/>
          <w:sz w:val="20"/>
          <w:szCs w:val="20"/>
        </w:rPr>
        <w:t>. Censimenti 201</w:t>
      </w:r>
      <w:r w:rsidR="00B5664A">
        <w:rPr>
          <w:rFonts w:ascii="Arial Narrow" w:hAnsi="Arial Narrow"/>
          <w:color w:val="595959" w:themeColor="text1" w:themeTint="A6"/>
          <w:sz w:val="20"/>
          <w:szCs w:val="20"/>
        </w:rPr>
        <w:t>9</w:t>
      </w:r>
      <w:r w:rsidRPr="00710C34">
        <w:rPr>
          <w:rFonts w:ascii="Arial Narrow" w:hAnsi="Arial Narrow"/>
          <w:color w:val="595959" w:themeColor="text1" w:themeTint="A6"/>
          <w:sz w:val="20"/>
          <w:szCs w:val="20"/>
        </w:rPr>
        <w:t>, 2018 e 2011. Valori assoluti e composizione percentuale</w:t>
      </w:r>
    </w:p>
    <w:tbl>
      <w:tblPr>
        <w:tblW w:w="5000" w:type="pct"/>
        <w:tblBorders>
          <w:top w:val="single" w:sz="4" w:space="0" w:color="auto"/>
          <w:bottom w:val="single" w:sz="4" w:space="0" w:color="auto"/>
          <w:insideH w:val="single" w:sz="4" w:space="0" w:color="auto"/>
        </w:tblBorders>
        <w:tblCellMar>
          <w:left w:w="70" w:type="dxa"/>
          <w:right w:w="70" w:type="dxa"/>
        </w:tblCellMar>
        <w:tblLook w:val="04A0"/>
      </w:tblPr>
      <w:tblGrid>
        <w:gridCol w:w="1116"/>
        <w:gridCol w:w="1398"/>
        <w:gridCol w:w="1621"/>
        <w:gridCol w:w="1059"/>
        <w:gridCol w:w="1582"/>
        <w:gridCol w:w="1398"/>
        <w:gridCol w:w="1604"/>
      </w:tblGrid>
      <w:tr w:rsidR="008E0A0A" w:rsidTr="00D5536E">
        <w:trPr>
          <w:trHeight w:val="255"/>
        </w:trPr>
        <w:tc>
          <w:tcPr>
            <w:tcW w:w="576" w:type="pct"/>
            <w:vMerge w:val="restart"/>
            <w:shd w:val="clear" w:color="auto" w:fill="auto"/>
            <w:noWrap/>
            <w:vAlign w:val="center"/>
            <w:hideMark/>
          </w:tcPr>
          <w:p w:rsidR="008E0A0A" w:rsidRDefault="008E0A0A" w:rsidP="002174A0">
            <w:pPr>
              <w:keepNext/>
              <w:keepLines/>
              <w:rPr>
                <w:rFonts w:ascii="Arial Narrow" w:hAnsi="Arial Narrow" w:cs="Calibri"/>
                <w:b/>
                <w:bCs/>
                <w:color w:val="000000"/>
                <w:sz w:val="18"/>
                <w:szCs w:val="18"/>
              </w:rPr>
            </w:pPr>
            <w:r>
              <w:rPr>
                <w:rFonts w:ascii="Arial Narrow" w:hAnsi="Arial Narrow" w:cs="Calibri"/>
                <w:b/>
                <w:bCs/>
                <w:color w:val="000000"/>
                <w:sz w:val="18"/>
                <w:szCs w:val="18"/>
              </w:rPr>
              <w:t>SESSO</w:t>
            </w:r>
          </w:p>
        </w:tc>
        <w:tc>
          <w:tcPr>
            <w:tcW w:w="1554" w:type="pct"/>
            <w:gridSpan w:val="2"/>
            <w:shd w:val="clear" w:color="000000" w:fill="D9D9D9"/>
            <w:vAlign w:val="center"/>
            <w:hideMark/>
          </w:tcPr>
          <w:p w:rsidR="008E0A0A" w:rsidRPr="00D5536E" w:rsidRDefault="008E0A0A" w:rsidP="002174A0">
            <w:pPr>
              <w:keepNext/>
              <w:keepLines/>
              <w:jc w:val="center"/>
              <w:rPr>
                <w:rFonts w:ascii="Arial Narrow" w:hAnsi="Arial Narrow" w:cs="Calibri"/>
                <w:b/>
                <w:bCs/>
                <w:color w:val="000000"/>
                <w:sz w:val="18"/>
                <w:szCs w:val="18"/>
              </w:rPr>
            </w:pPr>
            <w:r w:rsidRPr="00D5536E">
              <w:rPr>
                <w:rFonts w:ascii="Arial Narrow" w:hAnsi="Arial Narrow" w:cs="Calibri"/>
                <w:b/>
                <w:bCs/>
                <w:color w:val="000000"/>
                <w:sz w:val="18"/>
                <w:szCs w:val="18"/>
              </w:rPr>
              <w:t>2019</w:t>
            </w:r>
          </w:p>
        </w:tc>
        <w:tc>
          <w:tcPr>
            <w:tcW w:w="1325" w:type="pct"/>
            <w:gridSpan w:val="2"/>
            <w:shd w:val="clear" w:color="auto" w:fill="auto"/>
            <w:noWrap/>
            <w:vAlign w:val="center"/>
            <w:hideMark/>
          </w:tcPr>
          <w:p w:rsidR="008E0A0A" w:rsidRPr="00D5536E" w:rsidRDefault="008E0A0A" w:rsidP="002174A0">
            <w:pPr>
              <w:keepNext/>
              <w:keepLines/>
              <w:jc w:val="center"/>
              <w:rPr>
                <w:rFonts w:ascii="Arial Narrow" w:hAnsi="Arial Narrow" w:cs="Calibri"/>
                <w:b/>
                <w:bCs/>
                <w:color w:val="000000"/>
                <w:sz w:val="18"/>
                <w:szCs w:val="18"/>
              </w:rPr>
            </w:pPr>
            <w:r w:rsidRPr="00D5536E">
              <w:rPr>
                <w:rFonts w:ascii="Arial Narrow" w:hAnsi="Arial Narrow" w:cs="Calibri"/>
                <w:b/>
                <w:bCs/>
                <w:color w:val="000000"/>
                <w:sz w:val="18"/>
                <w:szCs w:val="18"/>
              </w:rPr>
              <w:t>2018</w:t>
            </w:r>
          </w:p>
        </w:tc>
        <w:tc>
          <w:tcPr>
            <w:tcW w:w="1545" w:type="pct"/>
            <w:gridSpan w:val="2"/>
            <w:shd w:val="clear" w:color="000000" w:fill="D9D9D9"/>
            <w:vAlign w:val="center"/>
            <w:hideMark/>
          </w:tcPr>
          <w:p w:rsidR="008E0A0A" w:rsidRPr="00D5536E" w:rsidRDefault="008E0A0A" w:rsidP="002174A0">
            <w:pPr>
              <w:keepNext/>
              <w:keepLines/>
              <w:jc w:val="center"/>
              <w:rPr>
                <w:rFonts w:ascii="Arial Narrow" w:hAnsi="Arial Narrow" w:cs="Calibri"/>
                <w:b/>
                <w:bCs/>
                <w:color w:val="000000"/>
                <w:sz w:val="18"/>
                <w:szCs w:val="18"/>
              </w:rPr>
            </w:pPr>
            <w:r w:rsidRPr="00D5536E">
              <w:rPr>
                <w:rFonts w:ascii="Arial Narrow" w:hAnsi="Arial Narrow" w:cs="Calibri"/>
                <w:b/>
                <w:bCs/>
                <w:color w:val="000000"/>
                <w:sz w:val="18"/>
                <w:szCs w:val="18"/>
              </w:rPr>
              <w:t>2011</w:t>
            </w:r>
          </w:p>
        </w:tc>
      </w:tr>
      <w:tr w:rsidR="008E0A0A" w:rsidTr="00D5536E">
        <w:trPr>
          <w:trHeight w:val="255"/>
        </w:trPr>
        <w:tc>
          <w:tcPr>
            <w:tcW w:w="576" w:type="pct"/>
            <w:vMerge/>
            <w:vAlign w:val="center"/>
            <w:hideMark/>
          </w:tcPr>
          <w:p w:rsidR="008E0A0A" w:rsidRDefault="008E0A0A" w:rsidP="002174A0">
            <w:pPr>
              <w:keepNext/>
              <w:keepLines/>
              <w:rPr>
                <w:rFonts w:ascii="Arial Narrow" w:hAnsi="Arial Narrow" w:cs="Calibri"/>
                <w:b/>
                <w:bCs/>
                <w:color w:val="000000"/>
                <w:sz w:val="18"/>
                <w:szCs w:val="18"/>
              </w:rPr>
            </w:pPr>
          </w:p>
        </w:tc>
        <w:tc>
          <w:tcPr>
            <w:tcW w:w="720" w:type="pct"/>
            <w:shd w:val="clear" w:color="000000" w:fill="FFFFFF"/>
            <w:vAlign w:val="center"/>
            <w:hideMark/>
          </w:tcPr>
          <w:p w:rsidR="008E0A0A" w:rsidRDefault="008E0A0A" w:rsidP="002174A0">
            <w:pPr>
              <w:keepNext/>
              <w:keepLines/>
              <w:jc w:val="right"/>
              <w:rPr>
                <w:rFonts w:ascii="Arial Narrow" w:hAnsi="Arial Narrow" w:cs="Calibri"/>
                <w:color w:val="000000"/>
                <w:sz w:val="18"/>
                <w:szCs w:val="18"/>
              </w:rPr>
            </w:pPr>
            <w:r>
              <w:rPr>
                <w:rFonts w:ascii="Arial Narrow" w:hAnsi="Arial Narrow" w:cs="Calibri"/>
                <w:color w:val="000000"/>
                <w:sz w:val="18"/>
                <w:szCs w:val="18"/>
              </w:rPr>
              <w:t xml:space="preserve">Valori </w:t>
            </w:r>
            <w:r w:rsidR="00D5536E">
              <w:rPr>
                <w:rFonts w:ascii="Arial Narrow" w:hAnsi="Arial Narrow" w:cs="Calibri"/>
                <w:color w:val="000000"/>
                <w:sz w:val="18"/>
                <w:szCs w:val="18"/>
              </w:rPr>
              <w:t>assoluti</w:t>
            </w:r>
          </w:p>
        </w:tc>
        <w:tc>
          <w:tcPr>
            <w:tcW w:w="834" w:type="pct"/>
            <w:shd w:val="clear" w:color="000000" w:fill="FFFFFF"/>
            <w:noWrap/>
            <w:vAlign w:val="center"/>
            <w:hideMark/>
          </w:tcPr>
          <w:p w:rsidR="008E0A0A" w:rsidRDefault="008E0A0A" w:rsidP="002174A0">
            <w:pPr>
              <w:keepNext/>
              <w:keepLines/>
              <w:jc w:val="right"/>
              <w:rPr>
                <w:rFonts w:ascii="Arial Narrow" w:hAnsi="Arial Narrow" w:cs="Calibri"/>
                <w:color w:val="000000"/>
                <w:sz w:val="18"/>
                <w:szCs w:val="18"/>
              </w:rPr>
            </w:pPr>
            <w:r>
              <w:rPr>
                <w:rFonts w:ascii="Arial Narrow" w:hAnsi="Arial Narrow" w:cs="Calibri"/>
                <w:color w:val="000000"/>
                <w:sz w:val="18"/>
                <w:szCs w:val="18"/>
              </w:rPr>
              <w:t>Composizione %</w:t>
            </w:r>
          </w:p>
        </w:tc>
        <w:tc>
          <w:tcPr>
            <w:tcW w:w="511" w:type="pct"/>
            <w:shd w:val="clear" w:color="000000" w:fill="FFFFFF"/>
            <w:noWrap/>
            <w:vAlign w:val="center"/>
            <w:hideMark/>
          </w:tcPr>
          <w:p w:rsidR="008E0A0A" w:rsidRDefault="008E0A0A" w:rsidP="002174A0">
            <w:pPr>
              <w:keepNext/>
              <w:keepLines/>
              <w:jc w:val="right"/>
              <w:rPr>
                <w:rFonts w:ascii="Arial Narrow" w:hAnsi="Arial Narrow" w:cs="Calibri"/>
                <w:color w:val="000000"/>
                <w:sz w:val="18"/>
                <w:szCs w:val="18"/>
              </w:rPr>
            </w:pPr>
            <w:r>
              <w:rPr>
                <w:rFonts w:ascii="Arial Narrow" w:hAnsi="Arial Narrow" w:cs="Calibri"/>
                <w:color w:val="000000"/>
                <w:sz w:val="18"/>
                <w:szCs w:val="18"/>
              </w:rPr>
              <w:t xml:space="preserve">Valori </w:t>
            </w:r>
            <w:r w:rsidR="00D5536E">
              <w:rPr>
                <w:rFonts w:ascii="Arial Narrow" w:hAnsi="Arial Narrow" w:cs="Calibri"/>
                <w:color w:val="000000"/>
                <w:sz w:val="18"/>
                <w:szCs w:val="18"/>
              </w:rPr>
              <w:t>assoluti</w:t>
            </w:r>
          </w:p>
        </w:tc>
        <w:tc>
          <w:tcPr>
            <w:tcW w:w="813" w:type="pct"/>
            <w:shd w:val="clear" w:color="000000" w:fill="FFFFFF"/>
            <w:noWrap/>
            <w:vAlign w:val="center"/>
            <w:hideMark/>
          </w:tcPr>
          <w:p w:rsidR="008E0A0A" w:rsidRDefault="008E0A0A" w:rsidP="002174A0">
            <w:pPr>
              <w:keepNext/>
              <w:keepLines/>
              <w:jc w:val="right"/>
              <w:rPr>
                <w:rFonts w:ascii="Arial Narrow" w:hAnsi="Arial Narrow" w:cs="Calibri"/>
                <w:color w:val="000000"/>
                <w:sz w:val="18"/>
                <w:szCs w:val="18"/>
              </w:rPr>
            </w:pPr>
            <w:r>
              <w:rPr>
                <w:rFonts w:ascii="Arial Narrow" w:hAnsi="Arial Narrow" w:cs="Calibri"/>
                <w:color w:val="000000"/>
                <w:sz w:val="18"/>
                <w:szCs w:val="18"/>
              </w:rPr>
              <w:t>Composizione %</w:t>
            </w:r>
          </w:p>
        </w:tc>
        <w:tc>
          <w:tcPr>
            <w:tcW w:w="720" w:type="pct"/>
            <w:shd w:val="clear" w:color="000000" w:fill="FFFFFF"/>
            <w:vAlign w:val="center"/>
            <w:hideMark/>
          </w:tcPr>
          <w:p w:rsidR="008E0A0A" w:rsidRDefault="008E0A0A" w:rsidP="002174A0">
            <w:pPr>
              <w:keepNext/>
              <w:keepLines/>
              <w:jc w:val="right"/>
              <w:rPr>
                <w:rFonts w:ascii="Arial Narrow" w:hAnsi="Arial Narrow" w:cs="Calibri"/>
                <w:color w:val="000000"/>
                <w:sz w:val="18"/>
                <w:szCs w:val="18"/>
              </w:rPr>
            </w:pPr>
            <w:r>
              <w:rPr>
                <w:rFonts w:ascii="Arial Narrow" w:hAnsi="Arial Narrow" w:cs="Calibri"/>
                <w:color w:val="000000"/>
                <w:sz w:val="18"/>
                <w:szCs w:val="18"/>
              </w:rPr>
              <w:t xml:space="preserve">Valori </w:t>
            </w:r>
            <w:r w:rsidR="00D5536E">
              <w:rPr>
                <w:rFonts w:ascii="Arial Narrow" w:hAnsi="Arial Narrow" w:cs="Calibri"/>
                <w:color w:val="000000"/>
                <w:sz w:val="18"/>
                <w:szCs w:val="18"/>
              </w:rPr>
              <w:t>assoluti</w:t>
            </w:r>
          </w:p>
        </w:tc>
        <w:tc>
          <w:tcPr>
            <w:tcW w:w="826" w:type="pct"/>
            <w:shd w:val="clear" w:color="000000" w:fill="FFFFFF"/>
            <w:noWrap/>
            <w:vAlign w:val="center"/>
            <w:hideMark/>
          </w:tcPr>
          <w:p w:rsidR="008E0A0A" w:rsidRDefault="008E0A0A" w:rsidP="002174A0">
            <w:pPr>
              <w:keepNext/>
              <w:keepLines/>
              <w:jc w:val="right"/>
              <w:rPr>
                <w:rFonts w:ascii="Arial Narrow" w:hAnsi="Arial Narrow" w:cs="Calibri"/>
                <w:color w:val="000000"/>
                <w:sz w:val="18"/>
                <w:szCs w:val="18"/>
              </w:rPr>
            </w:pPr>
            <w:r>
              <w:rPr>
                <w:rFonts w:ascii="Arial Narrow" w:hAnsi="Arial Narrow" w:cs="Calibri"/>
                <w:color w:val="000000"/>
                <w:sz w:val="18"/>
                <w:szCs w:val="18"/>
              </w:rPr>
              <w:t>Composizione %</w:t>
            </w:r>
          </w:p>
        </w:tc>
      </w:tr>
      <w:tr w:rsidR="008E0A0A" w:rsidTr="00D5536E">
        <w:trPr>
          <w:trHeight w:val="255"/>
        </w:trPr>
        <w:tc>
          <w:tcPr>
            <w:tcW w:w="576" w:type="pct"/>
            <w:shd w:val="clear" w:color="auto" w:fill="auto"/>
            <w:noWrap/>
            <w:vAlign w:val="center"/>
            <w:hideMark/>
          </w:tcPr>
          <w:p w:rsidR="008E0A0A" w:rsidRDefault="008E0A0A" w:rsidP="002174A0">
            <w:pPr>
              <w:keepNext/>
              <w:keepLines/>
              <w:rPr>
                <w:rFonts w:ascii="Arial Narrow" w:hAnsi="Arial Narrow" w:cs="Calibri"/>
                <w:color w:val="000000"/>
                <w:sz w:val="18"/>
                <w:szCs w:val="18"/>
              </w:rPr>
            </w:pPr>
            <w:r>
              <w:rPr>
                <w:rFonts w:ascii="Arial Narrow" w:hAnsi="Arial Narrow" w:cs="Calibri"/>
                <w:color w:val="000000"/>
                <w:sz w:val="18"/>
                <w:szCs w:val="18"/>
              </w:rPr>
              <w:t>Femmine</w:t>
            </w:r>
          </w:p>
        </w:tc>
        <w:tc>
          <w:tcPr>
            <w:tcW w:w="720" w:type="pct"/>
            <w:shd w:val="clear" w:color="000000" w:fill="D9D9D9"/>
            <w:noWrap/>
            <w:vAlign w:val="center"/>
            <w:hideMark/>
          </w:tcPr>
          <w:p w:rsidR="008E0A0A" w:rsidRDefault="008E0A0A" w:rsidP="002174A0">
            <w:pPr>
              <w:keepNext/>
              <w:keepLines/>
              <w:jc w:val="right"/>
              <w:rPr>
                <w:rFonts w:ascii="Arial Narrow" w:hAnsi="Arial Narrow" w:cs="Calibri"/>
                <w:color w:val="000000"/>
                <w:sz w:val="18"/>
                <w:szCs w:val="18"/>
              </w:rPr>
            </w:pPr>
            <w:r>
              <w:rPr>
                <w:rFonts w:ascii="Arial Narrow" w:hAnsi="Arial Narrow" w:cs="Calibri"/>
                <w:color w:val="000000"/>
                <w:sz w:val="18"/>
                <w:szCs w:val="18"/>
              </w:rPr>
              <w:t>281.104</w:t>
            </w:r>
          </w:p>
        </w:tc>
        <w:tc>
          <w:tcPr>
            <w:tcW w:w="834" w:type="pct"/>
            <w:shd w:val="clear" w:color="000000" w:fill="FFFFFF"/>
            <w:noWrap/>
            <w:vAlign w:val="center"/>
            <w:hideMark/>
          </w:tcPr>
          <w:p w:rsidR="008E0A0A" w:rsidRDefault="008E0A0A" w:rsidP="002174A0">
            <w:pPr>
              <w:keepNext/>
              <w:keepLines/>
              <w:jc w:val="right"/>
              <w:rPr>
                <w:rFonts w:ascii="Arial Narrow" w:hAnsi="Arial Narrow" w:cs="Calibri"/>
                <w:color w:val="000000"/>
                <w:sz w:val="18"/>
                <w:szCs w:val="18"/>
              </w:rPr>
            </w:pPr>
            <w:r>
              <w:rPr>
                <w:rFonts w:ascii="Arial Narrow" w:hAnsi="Arial Narrow" w:cs="Calibri"/>
                <w:color w:val="000000"/>
                <w:sz w:val="18"/>
                <w:szCs w:val="18"/>
              </w:rPr>
              <w:t>50,8</w:t>
            </w:r>
          </w:p>
        </w:tc>
        <w:tc>
          <w:tcPr>
            <w:tcW w:w="511" w:type="pct"/>
            <w:shd w:val="clear" w:color="000000" w:fill="D9D9D9"/>
            <w:noWrap/>
            <w:vAlign w:val="center"/>
            <w:hideMark/>
          </w:tcPr>
          <w:p w:rsidR="008E0A0A" w:rsidRDefault="008E0A0A" w:rsidP="002174A0">
            <w:pPr>
              <w:keepNext/>
              <w:keepLines/>
              <w:jc w:val="right"/>
              <w:rPr>
                <w:rFonts w:ascii="Arial Narrow" w:hAnsi="Arial Narrow" w:cs="Calibri"/>
                <w:color w:val="000000"/>
                <w:sz w:val="18"/>
                <w:szCs w:val="18"/>
              </w:rPr>
            </w:pPr>
            <w:r>
              <w:rPr>
                <w:rFonts w:ascii="Arial Narrow" w:hAnsi="Arial Narrow" w:cs="Calibri"/>
                <w:color w:val="000000"/>
                <w:sz w:val="18"/>
                <w:szCs w:val="18"/>
              </w:rPr>
              <w:t>283.890</w:t>
            </w:r>
          </w:p>
        </w:tc>
        <w:tc>
          <w:tcPr>
            <w:tcW w:w="813" w:type="pct"/>
            <w:shd w:val="clear" w:color="000000" w:fill="FFFFFF"/>
            <w:noWrap/>
            <w:vAlign w:val="center"/>
            <w:hideMark/>
          </w:tcPr>
          <w:p w:rsidR="008E0A0A" w:rsidRDefault="008E0A0A" w:rsidP="002174A0">
            <w:pPr>
              <w:keepNext/>
              <w:keepLines/>
              <w:jc w:val="right"/>
              <w:rPr>
                <w:rFonts w:ascii="Arial Narrow" w:hAnsi="Arial Narrow" w:cs="Calibri"/>
                <w:color w:val="000000"/>
                <w:sz w:val="18"/>
                <w:szCs w:val="18"/>
              </w:rPr>
            </w:pPr>
            <w:r>
              <w:rPr>
                <w:rFonts w:ascii="Arial Narrow" w:hAnsi="Arial Narrow" w:cs="Calibri"/>
                <w:color w:val="000000"/>
                <w:sz w:val="18"/>
                <w:szCs w:val="18"/>
              </w:rPr>
              <w:t>50,8</w:t>
            </w:r>
          </w:p>
        </w:tc>
        <w:tc>
          <w:tcPr>
            <w:tcW w:w="720" w:type="pct"/>
            <w:shd w:val="clear" w:color="000000" w:fill="D9D9D9"/>
            <w:noWrap/>
            <w:vAlign w:val="center"/>
            <w:hideMark/>
          </w:tcPr>
          <w:p w:rsidR="008E0A0A" w:rsidRDefault="008E0A0A" w:rsidP="002174A0">
            <w:pPr>
              <w:keepNext/>
              <w:keepLines/>
              <w:jc w:val="right"/>
              <w:rPr>
                <w:rFonts w:ascii="Arial Narrow" w:hAnsi="Arial Narrow" w:cs="Calibri"/>
                <w:color w:val="000000"/>
                <w:sz w:val="18"/>
                <w:szCs w:val="18"/>
              </w:rPr>
            </w:pPr>
            <w:r>
              <w:rPr>
                <w:rFonts w:ascii="Arial Narrow" w:hAnsi="Arial Narrow" w:cs="Calibri"/>
                <w:color w:val="000000"/>
                <w:sz w:val="18"/>
                <w:szCs w:val="18"/>
              </w:rPr>
              <w:t>295.257</w:t>
            </w:r>
          </w:p>
        </w:tc>
        <w:tc>
          <w:tcPr>
            <w:tcW w:w="826" w:type="pct"/>
            <w:shd w:val="clear" w:color="000000" w:fill="FFFFFF"/>
            <w:noWrap/>
            <w:vAlign w:val="center"/>
            <w:hideMark/>
          </w:tcPr>
          <w:p w:rsidR="008E0A0A" w:rsidRDefault="008E0A0A" w:rsidP="002174A0">
            <w:pPr>
              <w:keepNext/>
              <w:keepLines/>
              <w:jc w:val="right"/>
              <w:rPr>
                <w:rFonts w:ascii="Arial Narrow" w:hAnsi="Arial Narrow" w:cs="Calibri"/>
                <w:color w:val="000000"/>
                <w:sz w:val="18"/>
                <w:szCs w:val="18"/>
              </w:rPr>
            </w:pPr>
            <w:r>
              <w:rPr>
                <w:rFonts w:ascii="Arial Narrow" w:hAnsi="Arial Narrow" w:cs="Calibri"/>
                <w:color w:val="000000"/>
                <w:sz w:val="18"/>
                <w:szCs w:val="18"/>
              </w:rPr>
              <w:t>51,1</w:t>
            </w:r>
          </w:p>
        </w:tc>
      </w:tr>
      <w:tr w:rsidR="008E0A0A" w:rsidTr="00D5536E">
        <w:trPr>
          <w:trHeight w:val="255"/>
        </w:trPr>
        <w:tc>
          <w:tcPr>
            <w:tcW w:w="576" w:type="pct"/>
            <w:shd w:val="clear" w:color="auto" w:fill="auto"/>
            <w:noWrap/>
            <w:vAlign w:val="center"/>
            <w:hideMark/>
          </w:tcPr>
          <w:p w:rsidR="008E0A0A" w:rsidRDefault="008E0A0A" w:rsidP="002174A0">
            <w:pPr>
              <w:keepNext/>
              <w:keepLines/>
              <w:rPr>
                <w:rFonts w:ascii="Arial Narrow" w:hAnsi="Arial Narrow" w:cs="Calibri"/>
                <w:color w:val="000000"/>
                <w:sz w:val="18"/>
                <w:szCs w:val="18"/>
              </w:rPr>
            </w:pPr>
            <w:r>
              <w:rPr>
                <w:rFonts w:ascii="Arial Narrow" w:hAnsi="Arial Narrow" w:cs="Calibri"/>
                <w:color w:val="000000"/>
                <w:sz w:val="18"/>
                <w:szCs w:val="18"/>
              </w:rPr>
              <w:t>Maschi</w:t>
            </w:r>
          </w:p>
        </w:tc>
        <w:tc>
          <w:tcPr>
            <w:tcW w:w="720" w:type="pct"/>
            <w:shd w:val="clear" w:color="000000" w:fill="D9D9D9"/>
            <w:noWrap/>
            <w:vAlign w:val="center"/>
            <w:hideMark/>
          </w:tcPr>
          <w:p w:rsidR="008E0A0A" w:rsidRDefault="008E0A0A" w:rsidP="002174A0">
            <w:pPr>
              <w:keepNext/>
              <w:keepLines/>
              <w:jc w:val="right"/>
              <w:rPr>
                <w:rFonts w:ascii="Arial Narrow" w:hAnsi="Arial Narrow" w:cs="Calibri"/>
                <w:color w:val="000000"/>
                <w:sz w:val="18"/>
                <w:szCs w:val="18"/>
              </w:rPr>
            </w:pPr>
            <w:r>
              <w:rPr>
                <w:rFonts w:ascii="Arial Narrow" w:hAnsi="Arial Narrow" w:cs="Calibri"/>
                <w:color w:val="000000"/>
                <w:sz w:val="18"/>
                <w:szCs w:val="18"/>
              </w:rPr>
              <w:t>272.150</w:t>
            </w:r>
          </w:p>
        </w:tc>
        <w:tc>
          <w:tcPr>
            <w:tcW w:w="834" w:type="pct"/>
            <w:shd w:val="clear" w:color="000000" w:fill="FFFFFF"/>
            <w:noWrap/>
            <w:vAlign w:val="center"/>
            <w:hideMark/>
          </w:tcPr>
          <w:p w:rsidR="008E0A0A" w:rsidRDefault="008E0A0A" w:rsidP="002174A0">
            <w:pPr>
              <w:keepNext/>
              <w:keepLines/>
              <w:jc w:val="right"/>
              <w:rPr>
                <w:rFonts w:ascii="Arial Narrow" w:hAnsi="Arial Narrow" w:cs="Calibri"/>
                <w:color w:val="000000"/>
                <w:sz w:val="18"/>
                <w:szCs w:val="18"/>
              </w:rPr>
            </w:pPr>
            <w:r>
              <w:rPr>
                <w:rFonts w:ascii="Arial Narrow" w:hAnsi="Arial Narrow" w:cs="Calibri"/>
                <w:color w:val="000000"/>
                <w:sz w:val="18"/>
                <w:szCs w:val="18"/>
              </w:rPr>
              <w:t>49,2</w:t>
            </w:r>
          </w:p>
        </w:tc>
        <w:tc>
          <w:tcPr>
            <w:tcW w:w="511" w:type="pct"/>
            <w:shd w:val="clear" w:color="000000" w:fill="D9D9D9"/>
            <w:noWrap/>
            <w:vAlign w:val="center"/>
            <w:hideMark/>
          </w:tcPr>
          <w:p w:rsidR="008E0A0A" w:rsidRDefault="008E0A0A" w:rsidP="002174A0">
            <w:pPr>
              <w:keepNext/>
              <w:keepLines/>
              <w:jc w:val="right"/>
              <w:rPr>
                <w:rFonts w:ascii="Arial Narrow" w:hAnsi="Arial Narrow" w:cs="Calibri"/>
                <w:color w:val="000000"/>
                <w:sz w:val="18"/>
                <w:szCs w:val="18"/>
              </w:rPr>
            </w:pPr>
            <w:r>
              <w:rPr>
                <w:rFonts w:ascii="Arial Narrow" w:hAnsi="Arial Narrow" w:cs="Calibri"/>
                <w:color w:val="000000"/>
                <w:sz w:val="18"/>
                <w:szCs w:val="18"/>
              </w:rPr>
              <w:t>274.697</w:t>
            </w:r>
          </w:p>
        </w:tc>
        <w:tc>
          <w:tcPr>
            <w:tcW w:w="813" w:type="pct"/>
            <w:shd w:val="clear" w:color="000000" w:fill="FFFFFF"/>
            <w:noWrap/>
            <w:vAlign w:val="center"/>
            <w:hideMark/>
          </w:tcPr>
          <w:p w:rsidR="008E0A0A" w:rsidRDefault="008E0A0A" w:rsidP="002174A0">
            <w:pPr>
              <w:keepNext/>
              <w:keepLines/>
              <w:jc w:val="right"/>
              <w:rPr>
                <w:rFonts w:ascii="Arial Narrow" w:hAnsi="Arial Narrow" w:cs="Calibri"/>
                <w:color w:val="000000"/>
                <w:sz w:val="18"/>
                <w:szCs w:val="18"/>
              </w:rPr>
            </w:pPr>
            <w:r>
              <w:rPr>
                <w:rFonts w:ascii="Arial Narrow" w:hAnsi="Arial Narrow" w:cs="Calibri"/>
                <w:color w:val="000000"/>
                <w:sz w:val="18"/>
                <w:szCs w:val="18"/>
              </w:rPr>
              <w:t>49,2</w:t>
            </w:r>
          </w:p>
        </w:tc>
        <w:tc>
          <w:tcPr>
            <w:tcW w:w="720" w:type="pct"/>
            <w:shd w:val="clear" w:color="000000" w:fill="D9D9D9"/>
            <w:noWrap/>
            <w:vAlign w:val="center"/>
            <w:hideMark/>
          </w:tcPr>
          <w:p w:rsidR="008E0A0A" w:rsidRDefault="008E0A0A" w:rsidP="002174A0">
            <w:pPr>
              <w:keepNext/>
              <w:keepLines/>
              <w:jc w:val="right"/>
              <w:rPr>
                <w:rFonts w:ascii="Arial Narrow" w:hAnsi="Arial Narrow" w:cs="Calibri"/>
                <w:color w:val="000000"/>
                <w:sz w:val="18"/>
                <w:szCs w:val="18"/>
              </w:rPr>
            </w:pPr>
            <w:r>
              <w:rPr>
                <w:rFonts w:ascii="Arial Narrow" w:hAnsi="Arial Narrow" w:cs="Calibri"/>
                <w:color w:val="000000"/>
                <w:sz w:val="18"/>
                <w:szCs w:val="18"/>
              </w:rPr>
              <w:t>282.779</w:t>
            </w:r>
          </w:p>
        </w:tc>
        <w:tc>
          <w:tcPr>
            <w:tcW w:w="826" w:type="pct"/>
            <w:shd w:val="clear" w:color="000000" w:fill="FFFFFF"/>
            <w:noWrap/>
            <w:vAlign w:val="center"/>
            <w:hideMark/>
          </w:tcPr>
          <w:p w:rsidR="008E0A0A" w:rsidRDefault="008E0A0A" w:rsidP="002174A0">
            <w:pPr>
              <w:keepNext/>
              <w:keepLines/>
              <w:jc w:val="right"/>
              <w:rPr>
                <w:rFonts w:ascii="Arial Narrow" w:hAnsi="Arial Narrow" w:cs="Calibri"/>
                <w:color w:val="000000"/>
                <w:sz w:val="18"/>
                <w:szCs w:val="18"/>
              </w:rPr>
            </w:pPr>
            <w:r>
              <w:rPr>
                <w:rFonts w:ascii="Arial Narrow" w:hAnsi="Arial Narrow" w:cs="Calibri"/>
                <w:color w:val="000000"/>
                <w:sz w:val="18"/>
                <w:szCs w:val="18"/>
              </w:rPr>
              <w:t>48,9</w:t>
            </w:r>
          </w:p>
        </w:tc>
      </w:tr>
      <w:tr w:rsidR="008E0A0A" w:rsidTr="00D5536E">
        <w:trPr>
          <w:trHeight w:val="255"/>
        </w:trPr>
        <w:tc>
          <w:tcPr>
            <w:tcW w:w="576" w:type="pct"/>
            <w:shd w:val="clear" w:color="000000" w:fill="C9321F"/>
            <w:noWrap/>
            <w:vAlign w:val="center"/>
            <w:hideMark/>
          </w:tcPr>
          <w:p w:rsidR="008E0A0A" w:rsidRDefault="008E0A0A" w:rsidP="002174A0">
            <w:pPr>
              <w:keepNext/>
              <w:keepLines/>
              <w:rPr>
                <w:rFonts w:ascii="Arial Narrow" w:hAnsi="Arial Narrow" w:cs="Calibri"/>
                <w:b/>
                <w:bCs/>
                <w:color w:val="FFFFFF"/>
                <w:sz w:val="18"/>
                <w:szCs w:val="18"/>
              </w:rPr>
            </w:pPr>
            <w:r>
              <w:rPr>
                <w:rFonts w:ascii="Arial Narrow" w:hAnsi="Arial Narrow" w:cs="Calibri"/>
                <w:b/>
                <w:bCs/>
                <w:color w:val="FFFFFF"/>
                <w:sz w:val="18"/>
                <w:szCs w:val="18"/>
              </w:rPr>
              <w:t>TOTALE</w:t>
            </w:r>
          </w:p>
        </w:tc>
        <w:tc>
          <w:tcPr>
            <w:tcW w:w="720" w:type="pct"/>
            <w:shd w:val="clear" w:color="000000" w:fill="C9321F"/>
            <w:noWrap/>
            <w:vAlign w:val="center"/>
            <w:hideMark/>
          </w:tcPr>
          <w:p w:rsidR="008E0A0A" w:rsidRDefault="008E0A0A" w:rsidP="002174A0">
            <w:pPr>
              <w:keepNext/>
              <w:keepLines/>
              <w:jc w:val="right"/>
              <w:rPr>
                <w:rFonts w:ascii="Arial Narrow" w:hAnsi="Arial Narrow" w:cs="Calibri"/>
                <w:b/>
                <w:bCs/>
                <w:color w:val="FFFFFF"/>
                <w:sz w:val="18"/>
                <w:szCs w:val="18"/>
              </w:rPr>
            </w:pPr>
            <w:r>
              <w:rPr>
                <w:rFonts w:ascii="Arial Narrow" w:hAnsi="Arial Narrow" w:cs="Calibri"/>
                <w:b/>
                <w:bCs/>
                <w:color w:val="FFFFFF"/>
                <w:sz w:val="18"/>
                <w:szCs w:val="18"/>
              </w:rPr>
              <w:t>553.254</w:t>
            </w:r>
          </w:p>
        </w:tc>
        <w:tc>
          <w:tcPr>
            <w:tcW w:w="834" w:type="pct"/>
            <w:shd w:val="clear" w:color="000000" w:fill="C9321F"/>
            <w:noWrap/>
            <w:vAlign w:val="center"/>
            <w:hideMark/>
          </w:tcPr>
          <w:p w:rsidR="008E0A0A" w:rsidRDefault="008E0A0A" w:rsidP="002174A0">
            <w:pPr>
              <w:keepNext/>
              <w:keepLines/>
              <w:jc w:val="right"/>
              <w:rPr>
                <w:rFonts w:ascii="Arial Narrow" w:hAnsi="Arial Narrow" w:cs="Calibri"/>
                <w:b/>
                <w:bCs/>
                <w:color w:val="FFFFFF"/>
                <w:sz w:val="18"/>
                <w:szCs w:val="18"/>
              </w:rPr>
            </w:pPr>
            <w:r>
              <w:rPr>
                <w:rFonts w:ascii="Arial Narrow" w:hAnsi="Arial Narrow" w:cs="Calibri"/>
                <w:b/>
                <w:bCs/>
                <w:color w:val="FFFFFF"/>
                <w:sz w:val="18"/>
                <w:szCs w:val="18"/>
              </w:rPr>
              <w:t>100,0</w:t>
            </w:r>
          </w:p>
        </w:tc>
        <w:tc>
          <w:tcPr>
            <w:tcW w:w="511" w:type="pct"/>
            <w:shd w:val="clear" w:color="000000" w:fill="C9321F"/>
            <w:noWrap/>
            <w:vAlign w:val="center"/>
            <w:hideMark/>
          </w:tcPr>
          <w:p w:rsidR="008E0A0A" w:rsidRDefault="008E0A0A" w:rsidP="002174A0">
            <w:pPr>
              <w:keepNext/>
              <w:keepLines/>
              <w:jc w:val="right"/>
              <w:rPr>
                <w:rFonts w:ascii="Arial Narrow" w:hAnsi="Arial Narrow" w:cs="Calibri"/>
                <w:b/>
                <w:bCs/>
                <w:color w:val="FFFFFF"/>
                <w:sz w:val="18"/>
                <w:szCs w:val="18"/>
              </w:rPr>
            </w:pPr>
            <w:r>
              <w:rPr>
                <w:rFonts w:ascii="Arial Narrow" w:hAnsi="Arial Narrow" w:cs="Calibri"/>
                <w:b/>
                <w:bCs/>
                <w:color w:val="FFFFFF"/>
                <w:sz w:val="18"/>
                <w:szCs w:val="18"/>
              </w:rPr>
              <w:t>558.587</w:t>
            </w:r>
          </w:p>
        </w:tc>
        <w:tc>
          <w:tcPr>
            <w:tcW w:w="813" w:type="pct"/>
            <w:shd w:val="clear" w:color="000000" w:fill="C9321F"/>
            <w:noWrap/>
            <w:vAlign w:val="center"/>
            <w:hideMark/>
          </w:tcPr>
          <w:p w:rsidR="008E0A0A" w:rsidRDefault="008E0A0A" w:rsidP="002174A0">
            <w:pPr>
              <w:keepNext/>
              <w:keepLines/>
              <w:jc w:val="right"/>
              <w:rPr>
                <w:rFonts w:ascii="Arial Narrow" w:hAnsi="Arial Narrow" w:cs="Calibri"/>
                <w:b/>
                <w:bCs/>
                <w:color w:val="FFFFFF"/>
                <w:sz w:val="18"/>
                <w:szCs w:val="18"/>
              </w:rPr>
            </w:pPr>
            <w:r>
              <w:rPr>
                <w:rFonts w:ascii="Arial Narrow" w:hAnsi="Arial Narrow" w:cs="Calibri"/>
                <w:b/>
                <w:bCs/>
                <w:color w:val="FFFFFF"/>
                <w:sz w:val="18"/>
                <w:szCs w:val="18"/>
              </w:rPr>
              <w:t>100,0</w:t>
            </w:r>
          </w:p>
        </w:tc>
        <w:tc>
          <w:tcPr>
            <w:tcW w:w="720" w:type="pct"/>
            <w:shd w:val="clear" w:color="000000" w:fill="C9321F"/>
            <w:noWrap/>
            <w:vAlign w:val="center"/>
            <w:hideMark/>
          </w:tcPr>
          <w:p w:rsidR="008E0A0A" w:rsidRDefault="008E0A0A" w:rsidP="002174A0">
            <w:pPr>
              <w:keepNext/>
              <w:keepLines/>
              <w:jc w:val="right"/>
              <w:rPr>
                <w:rFonts w:ascii="Arial Narrow" w:hAnsi="Arial Narrow" w:cs="Calibri"/>
                <w:b/>
                <w:bCs/>
                <w:color w:val="FFFFFF"/>
                <w:sz w:val="18"/>
                <w:szCs w:val="18"/>
              </w:rPr>
            </w:pPr>
            <w:r>
              <w:rPr>
                <w:rFonts w:ascii="Arial Narrow" w:hAnsi="Arial Narrow" w:cs="Calibri"/>
                <w:b/>
                <w:bCs/>
                <w:color w:val="FFFFFF"/>
                <w:sz w:val="18"/>
                <w:szCs w:val="18"/>
              </w:rPr>
              <w:t>578.036</w:t>
            </w:r>
          </w:p>
        </w:tc>
        <w:tc>
          <w:tcPr>
            <w:tcW w:w="826" w:type="pct"/>
            <w:shd w:val="clear" w:color="000000" w:fill="C9321F"/>
            <w:noWrap/>
            <w:vAlign w:val="center"/>
            <w:hideMark/>
          </w:tcPr>
          <w:p w:rsidR="008E0A0A" w:rsidRDefault="008E0A0A" w:rsidP="002174A0">
            <w:pPr>
              <w:keepNext/>
              <w:keepLines/>
              <w:jc w:val="right"/>
              <w:rPr>
                <w:rFonts w:ascii="Arial Narrow" w:hAnsi="Arial Narrow" w:cs="Calibri"/>
                <w:b/>
                <w:bCs/>
                <w:color w:val="FFFFFF"/>
                <w:sz w:val="18"/>
                <w:szCs w:val="18"/>
              </w:rPr>
            </w:pPr>
            <w:r>
              <w:rPr>
                <w:rFonts w:ascii="Arial Narrow" w:hAnsi="Arial Narrow" w:cs="Calibri"/>
                <w:b/>
                <w:bCs/>
                <w:color w:val="FFFFFF"/>
                <w:sz w:val="18"/>
                <w:szCs w:val="18"/>
              </w:rPr>
              <w:t>100,0</w:t>
            </w:r>
          </w:p>
        </w:tc>
      </w:tr>
    </w:tbl>
    <w:p w:rsidR="00055BF3" w:rsidRPr="00465AF9" w:rsidRDefault="00E63E4A" w:rsidP="005B5D9A">
      <w:pPr>
        <w:spacing w:before="360" w:after="120"/>
        <w:jc w:val="both"/>
        <w:rPr>
          <w:rFonts w:ascii="Trebuchet MS" w:hAnsi="Trebuchet MS" w:cs="Arial"/>
          <w:color w:val="5F5F5F"/>
          <w:sz w:val="20"/>
          <w:szCs w:val="20"/>
        </w:rPr>
      </w:pPr>
      <w:r w:rsidRPr="00465AF9">
        <w:rPr>
          <w:rFonts w:ascii="Trebuchet MS" w:hAnsi="Trebuchet MS" w:cs="Arial"/>
          <w:color w:val="5F5F5F"/>
          <w:sz w:val="20"/>
          <w:szCs w:val="20"/>
        </w:rPr>
        <w:t xml:space="preserve">La popolazione </w:t>
      </w:r>
      <w:r w:rsidR="00794290" w:rsidRPr="00465AF9">
        <w:rPr>
          <w:rFonts w:ascii="Trebuchet MS" w:hAnsi="Trebuchet MS" w:cs="Arial"/>
          <w:color w:val="5F5F5F"/>
          <w:sz w:val="20"/>
          <w:szCs w:val="20"/>
        </w:rPr>
        <w:t>lucana</w:t>
      </w:r>
      <w:r w:rsidRPr="00465AF9">
        <w:rPr>
          <w:rFonts w:ascii="Trebuchet MS" w:hAnsi="Trebuchet MS" w:cs="Arial"/>
          <w:color w:val="5F5F5F"/>
          <w:sz w:val="20"/>
          <w:szCs w:val="20"/>
        </w:rPr>
        <w:t xml:space="preserve"> presenta una st</w:t>
      </w:r>
      <w:r w:rsidR="00363C25" w:rsidRPr="00465AF9">
        <w:rPr>
          <w:rFonts w:ascii="Trebuchet MS" w:hAnsi="Trebuchet MS" w:cs="Arial"/>
          <w:color w:val="5F5F5F"/>
          <w:sz w:val="20"/>
          <w:szCs w:val="20"/>
        </w:rPr>
        <w:t>ruttura per età s</w:t>
      </w:r>
      <w:r w:rsidR="00D93562" w:rsidRPr="00465AF9">
        <w:rPr>
          <w:rFonts w:ascii="Trebuchet MS" w:hAnsi="Trebuchet MS" w:cs="Arial"/>
          <w:color w:val="5F5F5F"/>
          <w:sz w:val="20"/>
          <w:szCs w:val="20"/>
        </w:rPr>
        <w:t>imilea</w:t>
      </w:r>
      <w:r w:rsidR="00363C25" w:rsidRPr="00465AF9">
        <w:rPr>
          <w:rFonts w:ascii="Trebuchet MS" w:hAnsi="Trebuchet MS" w:cs="Arial"/>
          <w:color w:val="5F5F5F"/>
          <w:sz w:val="20"/>
          <w:szCs w:val="20"/>
        </w:rPr>
        <w:t xml:space="preserve"> quella italiana</w:t>
      </w:r>
      <w:r w:rsidRPr="00465AF9">
        <w:rPr>
          <w:rFonts w:ascii="Trebuchet MS" w:hAnsi="Trebuchet MS" w:cs="Arial"/>
          <w:color w:val="5F5F5F"/>
          <w:sz w:val="20"/>
          <w:szCs w:val="20"/>
        </w:rPr>
        <w:t xml:space="preserve">, </w:t>
      </w:r>
      <w:r w:rsidR="00D93562" w:rsidRPr="00465AF9">
        <w:rPr>
          <w:rFonts w:ascii="Trebuchet MS" w:hAnsi="Trebuchet MS" w:cs="Arial"/>
          <w:color w:val="5F5F5F"/>
          <w:sz w:val="20"/>
          <w:szCs w:val="20"/>
        </w:rPr>
        <w:t>testimon</w:t>
      </w:r>
      <w:r w:rsidRPr="00465AF9">
        <w:rPr>
          <w:rFonts w:ascii="Trebuchet MS" w:hAnsi="Trebuchet MS" w:cs="Arial"/>
          <w:color w:val="5F5F5F"/>
          <w:sz w:val="20"/>
          <w:szCs w:val="20"/>
        </w:rPr>
        <w:t>iata anche dalla forma delle piramidi delle età</w:t>
      </w:r>
      <w:r w:rsidR="009B3DF1" w:rsidRPr="00465AF9">
        <w:rPr>
          <w:rFonts w:ascii="Trebuchet MS" w:hAnsi="Trebuchet MS" w:cs="Arial"/>
          <w:color w:val="5F5F5F"/>
          <w:sz w:val="20"/>
          <w:szCs w:val="20"/>
        </w:rPr>
        <w:t>, che presentano differenze lievi nell’incidenza delle varie classi</w:t>
      </w:r>
      <w:r w:rsidR="00363C25" w:rsidRPr="00465AF9">
        <w:rPr>
          <w:rFonts w:ascii="Trebuchet MS" w:hAnsi="Trebuchet MS" w:cs="Arial"/>
          <w:color w:val="5F5F5F"/>
          <w:sz w:val="20"/>
          <w:szCs w:val="20"/>
        </w:rPr>
        <w:t xml:space="preserve">. </w:t>
      </w:r>
      <w:r w:rsidR="00D93562" w:rsidRPr="00465AF9">
        <w:rPr>
          <w:rFonts w:ascii="Trebuchet MS" w:hAnsi="Trebuchet MS" w:cs="Arial"/>
          <w:color w:val="5F5F5F"/>
          <w:sz w:val="20"/>
          <w:szCs w:val="20"/>
        </w:rPr>
        <w:t>L’</w:t>
      </w:r>
      <w:r w:rsidR="00334A4C" w:rsidRPr="00465AF9">
        <w:rPr>
          <w:rFonts w:ascii="Trebuchet MS" w:hAnsi="Trebuchet MS" w:cs="Arial"/>
          <w:color w:val="5F5F5F"/>
          <w:sz w:val="20"/>
          <w:szCs w:val="20"/>
        </w:rPr>
        <w:t xml:space="preserve">età media </w:t>
      </w:r>
      <w:r w:rsidR="00FE5A0F">
        <w:rPr>
          <w:rFonts w:ascii="Trebuchet MS" w:hAnsi="Trebuchet MS" w:cs="Arial"/>
          <w:color w:val="5F5F5F"/>
          <w:sz w:val="20"/>
          <w:szCs w:val="20"/>
        </w:rPr>
        <w:t xml:space="preserve">è </w:t>
      </w:r>
      <w:r w:rsidR="00334A4C" w:rsidRPr="00465AF9">
        <w:rPr>
          <w:rFonts w:ascii="Trebuchet MS" w:hAnsi="Trebuchet MS" w:cs="Arial"/>
          <w:color w:val="5F5F5F"/>
          <w:sz w:val="20"/>
          <w:szCs w:val="20"/>
        </w:rPr>
        <w:t>di</w:t>
      </w:r>
      <w:r w:rsidR="00363C25" w:rsidRPr="00465AF9">
        <w:rPr>
          <w:rFonts w:ascii="Trebuchet MS" w:hAnsi="Trebuchet MS" w:cs="Arial"/>
          <w:color w:val="5F5F5F"/>
          <w:sz w:val="20"/>
          <w:szCs w:val="20"/>
        </w:rPr>
        <w:t>4</w:t>
      </w:r>
      <w:r w:rsidR="009B3DF1" w:rsidRPr="00465AF9">
        <w:rPr>
          <w:rFonts w:ascii="Trebuchet MS" w:hAnsi="Trebuchet MS" w:cs="Arial"/>
          <w:color w:val="5F5F5F"/>
          <w:sz w:val="20"/>
          <w:szCs w:val="20"/>
        </w:rPr>
        <w:t>5</w:t>
      </w:r>
      <w:r w:rsidR="00363C25" w:rsidRPr="00465AF9">
        <w:rPr>
          <w:rFonts w:ascii="Trebuchet MS" w:hAnsi="Trebuchet MS" w:cs="Arial"/>
          <w:color w:val="5F5F5F"/>
          <w:sz w:val="20"/>
          <w:szCs w:val="20"/>
        </w:rPr>
        <w:t>,</w:t>
      </w:r>
      <w:r w:rsidR="009B3DF1" w:rsidRPr="00465AF9">
        <w:rPr>
          <w:rFonts w:ascii="Trebuchet MS" w:hAnsi="Trebuchet MS" w:cs="Arial"/>
          <w:color w:val="5F5F5F"/>
          <w:sz w:val="20"/>
          <w:szCs w:val="20"/>
        </w:rPr>
        <w:t>7</w:t>
      </w:r>
      <w:r w:rsidR="00A401CA" w:rsidRPr="00465AF9">
        <w:rPr>
          <w:rFonts w:ascii="Trebuchet MS" w:hAnsi="Trebuchet MS" w:cs="Arial"/>
          <w:color w:val="5F5F5F"/>
          <w:sz w:val="20"/>
          <w:szCs w:val="20"/>
        </w:rPr>
        <w:t xml:space="preserve"> annicontro i </w:t>
      </w:r>
      <w:r w:rsidR="00363C25" w:rsidRPr="00465AF9">
        <w:rPr>
          <w:rFonts w:ascii="Trebuchet MS" w:hAnsi="Trebuchet MS" w:cs="Arial"/>
          <w:color w:val="5F5F5F"/>
          <w:sz w:val="20"/>
          <w:szCs w:val="20"/>
        </w:rPr>
        <w:t xml:space="preserve">45,2 </w:t>
      </w:r>
      <w:r w:rsidR="00A401CA" w:rsidRPr="00465AF9">
        <w:rPr>
          <w:rFonts w:ascii="Trebuchet MS" w:hAnsi="Trebuchet MS" w:cs="Arial"/>
          <w:color w:val="5F5F5F"/>
          <w:sz w:val="20"/>
          <w:szCs w:val="20"/>
        </w:rPr>
        <w:t>dell’Italia</w:t>
      </w:r>
      <w:r w:rsidR="00465AF9" w:rsidRPr="00465AF9">
        <w:rPr>
          <w:rFonts w:ascii="Trebuchet MS" w:hAnsi="Trebuchet MS" w:cs="Arial"/>
          <w:color w:val="5F5F5F"/>
          <w:sz w:val="20"/>
          <w:szCs w:val="20"/>
        </w:rPr>
        <w:t>,</w:t>
      </w:r>
      <w:r w:rsidR="00A401CA" w:rsidRPr="00465AF9">
        <w:rPr>
          <w:rFonts w:ascii="Trebuchet MS" w:hAnsi="Trebuchet MS" w:cs="Arial"/>
          <w:color w:val="5F5F5F"/>
          <w:sz w:val="20"/>
          <w:szCs w:val="20"/>
        </w:rPr>
        <w:t xml:space="preserve"> i</w:t>
      </w:r>
      <w:r w:rsidRPr="00465AF9">
        <w:rPr>
          <w:rFonts w:ascii="Trebuchet MS" w:hAnsi="Trebuchet MS" w:cs="Arial"/>
          <w:color w:val="5F5F5F"/>
          <w:sz w:val="20"/>
          <w:szCs w:val="20"/>
        </w:rPr>
        <w:t xml:space="preserve">l </w:t>
      </w:r>
      <w:r w:rsidR="00465AF9" w:rsidRPr="00465AF9">
        <w:rPr>
          <w:rFonts w:ascii="Trebuchet MS" w:hAnsi="Trebuchet MS" w:cs="Arial"/>
          <w:color w:val="5F5F5F"/>
          <w:sz w:val="20"/>
          <w:szCs w:val="20"/>
        </w:rPr>
        <w:t>46,2</w:t>
      </w:r>
      <w:r w:rsidRPr="00465AF9">
        <w:rPr>
          <w:rFonts w:ascii="Trebuchet MS" w:hAnsi="Trebuchet MS" w:cs="Arial"/>
          <w:color w:val="5F5F5F"/>
          <w:sz w:val="20"/>
          <w:szCs w:val="20"/>
        </w:rPr>
        <w:t>%</w:t>
      </w:r>
      <w:r w:rsidR="00363C25" w:rsidRPr="00465AF9">
        <w:rPr>
          <w:rFonts w:ascii="Trebuchet MS" w:hAnsi="Trebuchet MS" w:cs="Arial"/>
          <w:color w:val="5F5F5F"/>
          <w:sz w:val="20"/>
          <w:szCs w:val="20"/>
        </w:rPr>
        <w:t xml:space="preserve"> dei </w:t>
      </w:r>
      <w:r w:rsidR="00AD0DDD">
        <w:rPr>
          <w:rFonts w:ascii="Trebuchet MS" w:hAnsi="Trebuchet MS" w:cs="Arial"/>
          <w:color w:val="5F5F5F"/>
          <w:sz w:val="20"/>
          <w:szCs w:val="20"/>
        </w:rPr>
        <w:t>luca</w:t>
      </w:r>
      <w:r w:rsidR="00363C25" w:rsidRPr="00465AF9">
        <w:rPr>
          <w:rFonts w:ascii="Trebuchet MS" w:hAnsi="Trebuchet MS" w:cs="Arial"/>
          <w:color w:val="5F5F5F"/>
          <w:sz w:val="20"/>
          <w:szCs w:val="20"/>
        </w:rPr>
        <w:t>ni ha meno di 45 anni</w:t>
      </w:r>
      <w:r w:rsidR="0010371E" w:rsidRPr="00465AF9">
        <w:rPr>
          <w:rFonts w:ascii="Trebuchet MS" w:hAnsi="Trebuchet MS" w:cs="Arial"/>
          <w:color w:val="5F5F5F"/>
          <w:sz w:val="20"/>
          <w:szCs w:val="20"/>
        </w:rPr>
        <w:t xml:space="preserve">(il 46,5% </w:t>
      </w:r>
      <w:r w:rsidRPr="00465AF9">
        <w:rPr>
          <w:rFonts w:ascii="Trebuchet MS" w:hAnsi="Trebuchet MS" w:cs="Arial"/>
          <w:color w:val="5F5F5F"/>
          <w:sz w:val="20"/>
          <w:szCs w:val="20"/>
        </w:rPr>
        <w:t>a livello nazionale</w:t>
      </w:r>
      <w:r w:rsidR="0010371E" w:rsidRPr="00465AF9">
        <w:rPr>
          <w:rFonts w:ascii="Trebuchet MS" w:hAnsi="Trebuchet MS" w:cs="Arial"/>
          <w:color w:val="5F5F5F"/>
          <w:sz w:val="20"/>
          <w:szCs w:val="20"/>
        </w:rPr>
        <w:t xml:space="preserve">), il </w:t>
      </w:r>
      <w:r w:rsidR="00465AF9" w:rsidRPr="00465AF9">
        <w:rPr>
          <w:rFonts w:ascii="Trebuchet MS" w:hAnsi="Trebuchet MS" w:cs="Arial"/>
          <w:color w:val="5F5F5F"/>
          <w:sz w:val="20"/>
          <w:szCs w:val="20"/>
        </w:rPr>
        <w:t>23,5</w:t>
      </w:r>
      <w:r w:rsidR="0010371E" w:rsidRPr="00465AF9">
        <w:rPr>
          <w:rFonts w:ascii="Trebuchet MS" w:hAnsi="Trebuchet MS" w:cs="Arial"/>
          <w:color w:val="5F5F5F"/>
          <w:sz w:val="20"/>
          <w:szCs w:val="20"/>
        </w:rPr>
        <w:t xml:space="preserve">% </w:t>
      </w:r>
      <w:r w:rsidR="00284D0D" w:rsidRPr="00465AF9">
        <w:rPr>
          <w:rFonts w:ascii="Trebuchet MS" w:hAnsi="Trebuchet MS" w:cs="Arial"/>
          <w:color w:val="5F5F5F"/>
          <w:sz w:val="20"/>
          <w:szCs w:val="20"/>
        </w:rPr>
        <w:t xml:space="preserve">ne </w:t>
      </w:r>
      <w:r w:rsidR="0010371E" w:rsidRPr="00465AF9">
        <w:rPr>
          <w:rFonts w:ascii="Trebuchet MS" w:hAnsi="Trebuchet MS" w:cs="Arial"/>
          <w:color w:val="5F5F5F"/>
          <w:sz w:val="20"/>
          <w:szCs w:val="20"/>
        </w:rPr>
        <w:t>ha più di 64(</w:t>
      </w:r>
      <w:r w:rsidRPr="00465AF9">
        <w:rPr>
          <w:rFonts w:ascii="Trebuchet MS" w:hAnsi="Trebuchet MS" w:cs="Arial"/>
          <w:color w:val="5F5F5F"/>
          <w:sz w:val="20"/>
          <w:szCs w:val="20"/>
        </w:rPr>
        <w:t xml:space="preserve">il 23,2% </w:t>
      </w:r>
      <w:r w:rsidR="0078547C" w:rsidRPr="00465AF9">
        <w:rPr>
          <w:rFonts w:ascii="Trebuchet MS" w:hAnsi="Trebuchet MS" w:cs="Arial"/>
          <w:color w:val="5F5F5F"/>
          <w:sz w:val="20"/>
          <w:szCs w:val="20"/>
        </w:rPr>
        <w:t xml:space="preserve">in </w:t>
      </w:r>
      <w:r w:rsidR="0010371E" w:rsidRPr="00465AF9">
        <w:rPr>
          <w:rFonts w:ascii="Trebuchet MS" w:hAnsi="Trebuchet MS" w:cs="Arial"/>
          <w:color w:val="5F5F5F"/>
          <w:sz w:val="20"/>
          <w:szCs w:val="20"/>
        </w:rPr>
        <w:t xml:space="preserve">media </w:t>
      </w:r>
      <w:r w:rsidR="0078547C" w:rsidRPr="00465AF9">
        <w:rPr>
          <w:rFonts w:ascii="Trebuchet MS" w:hAnsi="Trebuchet MS" w:cs="Arial"/>
          <w:color w:val="5F5F5F"/>
          <w:sz w:val="20"/>
          <w:szCs w:val="20"/>
        </w:rPr>
        <w:t>Italia</w:t>
      </w:r>
      <w:r w:rsidR="0010371E" w:rsidRPr="00465AF9">
        <w:rPr>
          <w:rFonts w:ascii="Trebuchet MS" w:hAnsi="Trebuchet MS" w:cs="Arial"/>
          <w:color w:val="5F5F5F"/>
          <w:sz w:val="20"/>
          <w:szCs w:val="20"/>
        </w:rPr>
        <w:t>)</w:t>
      </w:r>
      <w:r w:rsidRPr="00465AF9">
        <w:rPr>
          <w:rFonts w:ascii="Trebuchet MS" w:hAnsi="Trebuchet MS" w:cs="Arial"/>
          <w:color w:val="5F5F5F"/>
          <w:sz w:val="20"/>
          <w:szCs w:val="20"/>
        </w:rPr>
        <w:t xml:space="preserve">. </w:t>
      </w:r>
    </w:p>
    <w:p w:rsidR="00B67C36" w:rsidRPr="003B71FA" w:rsidRDefault="00465AF9" w:rsidP="00455CF8">
      <w:pPr>
        <w:jc w:val="both"/>
        <w:rPr>
          <w:rFonts w:ascii="Trebuchet MS" w:hAnsi="Trebuchet MS" w:cs="Arial"/>
          <w:color w:val="5F5F5F"/>
          <w:sz w:val="20"/>
          <w:szCs w:val="20"/>
        </w:rPr>
      </w:pPr>
      <w:r w:rsidRPr="00465AF9">
        <w:rPr>
          <w:rFonts w:ascii="Trebuchet MS" w:hAnsi="Trebuchet MS" w:cs="Arial"/>
          <w:color w:val="5F5F5F"/>
          <w:sz w:val="20"/>
          <w:szCs w:val="20"/>
        </w:rPr>
        <w:t>Il</w:t>
      </w:r>
      <w:r w:rsidR="00283393">
        <w:rPr>
          <w:rFonts w:ascii="Trebuchet MS" w:hAnsi="Trebuchet MS" w:cs="Arial"/>
          <w:color w:val="5F5F5F"/>
          <w:sz w:val="20"/>
          <w:szCs w:val="20"/>
        </w:rPr>
        <w:t xml:space="preserve"> confronto con </w:t>
      </w:r>
      <w:r w:rsidR="00923684">
        <w:rPr>
          <w:rFonts w:ascii="Trebuchet MS" w:hAnsi="Trebuchet MS" w:cs="Arial"/>
          <w:color w:val="5F5F5F"/>
          <w:sz w:val="20"/>
          <w:szCs w:val="20"/>
        </w:rPr>
        <w:t xml:space="preserve">il </w:t>
      </w:r>
      <w:r w:rsidR="00283393">
        <w:rPr>
          <w:rFonts w:ascii="Trebuchet MS" w:hAnsi="Trebuchet MS" w:cs="Arial"/>
          <w:color w:val="5F5F5F"/>
          <w:sz w:val="20"/>
          <w:szCs w:val="20"/>
        </w:rPr>
        <w:t>C</w:t>
      </w:r>
      <w:r w:rsidR="001C587F" w:rsidRPr="00465AF9">
        <w:rPr>
          <w:rFonts w:ascii="Trebuchet MS" w:hAnsi="Trebuchet MS" w:cs="Arial"/>
          <w:color w:val="5F5F5F"/>
          <w:sz w:val="20"/>
          <w:szCs w:val="20"/>
        </w:rPr>
        <w:t xml:space="preserve">ensimento 2011 evidenzia </w:t>
      </w:r>
      <w:r w:rsidR="00284D0D" w:rsidRPr="00465AF9">
        <w:rPr>
          <w:rFonts w:ascii="Trebuchet MS" w:hAnsi="Trebuchet MS" w:cs="Arial"/>
          <w:color w:val="5F5F5F"/>
          <w:sz w:val="20"/>
          <w:szCs w:val="20"/>
        </w:rPr>
        <w:t xml:space="preserve">anche in </w:t>
      </w:r>
      <w:r w:rsidR="00427B53" w:rsidRPr="00465AF9">
        <w:rPr>
          <w:rFonts w:ascii="Trebuchet MS" w:hAnsi="Trebuchet MS" w:cs="Arial"/>
          <w:color w:val="5F5F5F"/>
          <w:sz w:val="20"/>
          <w:szCs w:val="20"/>
        </w:rPr>
        <w:t>Basilicata</w:t>
      </w:r>
      <w:r w:rsidR="001C587F" w:rsidRPr="00465AF9">
        <w:rPr>
          <w:rFonts w:ascii="Trebuchet MS" w:hAnsi="Trebuchet MS" w:cs="Arial"/>
          <w:color w:val="5F5F5F"/>
          <w:sz w:val="20"/>
          <w:szCs w:val="20"/>
        </w:rPr>
        <w:t xml:space="preserve">un progressivo invecchiamento della popolazione, </w:t>
      </w:r>
      <w:r w:rsidR="00284D0D" w:rsidRPr="00465AF9">
        <w:rPr>
          <w:rFonts w:ascii="Trebuchet MS" w:hAnsi="Trebuchet MS" w:cs="Arial"/>
          <w:color w:val="5F5F5F"/>
          <w:sz w:val="20"/>
          <w:szCs w:val="20"/>
        </w:rPr>
        <w:t xml:space="preserve">e </w:t>
      </w:r>
      <w:r w:rsidR="001C587F" w:rsidRPr="00465AF9">
        <w:rPr>
          <w:rFonts w:ascii="Trebuchet MS" w:hAnsi="Trebuchet MS" w:cs="Arial"/>
          <w:color w:val="5F5F5F"/>
          <w:sz w:val="20"/>
          <w:szCs w:val="20"/>
        </w:rPr>
        <w:t>con ritmi superiori alla media nazionale.</w:t>
      </w:r>
      <w:r w:rsidR="00E64170" w:rsidRPr="00465AF9">
        <w:rPr>
          <w:rFonts w:ascii="Trebuchet MS" w:hAnsi="Trebuchet MS" w:cs="Arial"/>
          <w:color w:val="5F5F5F"/>
          <w:sz w:val="20"/>
          <w:szCs w:val="20"/>
        </w:rPr>
        <w:t xml:space="preserve"> Tutte le classi </w:t>
      </w:r>
      <w:r w:rsidR="000040B8" w:rsidRPr="00465AF9">
        <w:rPr>
          <w:rFonts w:ascii="Trebuchet MS" w:hAnsi="Trebuchet MS" w:cs="Arial"/>
          <w:color w:val="5F5F5F"/>
          <w:sz w:val="20"/>
          <w:szCs w:val="20"/>
        </w:rPr>
        <w:t xml:space="preserve">di </w:t>
      </w:r>
      <w:r w:rsidR="00E64170" w:rsidRPr="00465AF9">
        <w:rPr>
          <w:rFonts w:ascii="Trebuchet MS" w:hAnsi="Trebuchet MS" w:cs="Arial"/>
          <w:color w:val="5F5F5F"/>
          <w:sz w:val="20"/>
          <w:szCs w:val="20"/>
        </w:rPr>
        <w:t>età sotto i 50 anni registrano variazioni negative</w:t>
      </w:r>
      <w:r w:rsidR="00055BF3" w:rsidRPr="00465AF9">
        <w:rPr>
          <w:rFonts w:ascii="Trebuchet MS" w:hAnsi="Trebuchet MS" w:cs="Arial"/>
          <w:color w:val="5F5F5F"/>
          <w:sz w:val="20"/>
          <w:szCs w:val="20"/>
        </w:rPr>
        <w:t xml:space="preserve">. I bambini con meno di 10 anni </w:t>
      </w:r>
      <w:r w:rsidR="00D5536E" w:rsidRPr="00465AF9">
        <w:rPr>
          <w:rFonts w:ascii="Trebuchet MS" w:hAnsi="Trebuchet MS" w:cs="Arial"/>
          <w:color w:val="5F5F5F"/>
          <w:sz w:val="20"/>
          <w:szCs w:val="20"/>
        </w:rPr>
        <w:t>diminuiscono</w:t>
      </w:r>
      <w:r w:rsidR="00055BF3" w:rsidRPr="00465AF9">
        <w:rPr>
          <w:rFonts w:ascii="Trebuchet MS" w:hAnsi="Trebuchet MS" w:cs="Arial"/>
          <w:color w:val="5F5F5F"/>
          <w:sz w:val="20"/>
          <w:szCs w:val="20"/>
        </w:rPr>
        <w:t xml:space="preserve"> di </w:t>
      </w:r>
      <w:r w:rsidRPr="00465AF9">
        <w:rPr>
          <w:rFonts w:ascii="Trebuchet MS" w:hAnsi="Trebuchet MS" w:cs="Arial"/>
          <w:color w:val="5F5F5F"/>
          <w:sz w:val="20"/>
          <w:szCs w:val="20"/>
        </w:rPr>
        <w:t>8</w:t>
      </w:r>
      <w:r w:rsidR="00055BF3" w:rsidRPr="00465AF9">
        <w:rPr>
          <w:rFonts w:ascii="Trebuchet MS" w:hAnsi="Trebuchet MS" w:cs="Arial"/>
          <w:color w:val="5F5F5F"/>
          <w:sz w:val="20"/>
          <w:szCs w:val="20"/>
        </w:rPr>
        <w:t xml:space="preserve"> mila unità (-1</w:t>
      </w:r>
      <w:r w:rsidRPr="00465AF9">
        <w:rPr>
          <w:rFonts w:ascii="Trebuchet MS" w:hAnsi="Trebuchet MS" w:cs="Arial"/>
          <w:color w:val="5F5F5F"/>
          <w:sz w:val="20"/>
          <w:szCs w:val="20"/>
        </w:rPr>
        <w:t>7,</w:t>
      </w:r>
      <w:r w:rsidR="00195562">
        <w:rPr>
          <w:rFonts w:ascii="Trebuchet MS" w:hAnsi="Trebuchet MS" w:cs="Arial"/>
          <w:color w:val="5F5F5F"/>
          <w:sz w:val="20"/>
          <w:szCs w:val="20"/>
        </w:rPr>
        <w:t>2</w:t>
      </w:r>
      <w:r w:rsidR="00055BF3" w:rsidRPr="00465AF9">
        <w:rPr>
          <w:rFonts w:ascii="Trebuchet MS" w:hAnsi="Trebuchet MS" w:cs="Arial"/>
          <w:color w:val="5F5F5F"/>
          <w:sz w:val="20"/>
          <w:szCs w:val="20"/>
        </w:rPr>
        <w:t>%, a fronte del -11,5% dell</w:t>
      </w:r>
      <w:r w:rsidR="009422C6" w:rsidRPr="00465AF9">
        <w:rPr>
          <w:rFonts w:ascii="Trebuchet MS" w:hAnsi="Trebuchet MS" w:cs="Arial"/>
          <w:color w:val="5F5F5F"/>
          <w:sz w:val="20"/>
          <w:szCs w:val="20"/>
        </w:rPr>
        <w:t>’Italia</w:t>
      </w:r>
      <w:r w:rsidR="00055BF3" w:rsidRPr="00465AF9">
        <w:rPr>
          <w:rFonts w:ascii="Trebuchet MS" w:hAnsi="Trebuchet MS" w:cs="Arial"/>
          <w:color w:val="5F5F5F"/>
          <w:sz w:val="20"/>
          <w:szCs w:val="20"/>
        </w:rPr>
        <w:t>)</w:t>
      </w:r>
      <w:r w:rsidR="001E4511" w:rsidRPr="00465AF9">
        <w:rPr>
          <w:rFonts w:ascii="Trebuchet MS" w:hAnsi="Trebuchet MS" w:cs="Arial"/>
          <w:color w:val="5F5F5F"/>
          <w:sz w:val="20"/>
          <w:szCs w:val="20"/>
        </w:rPr>
        <w:t>;il numero d</w:t>
      </w:r>
      <w:r w:rsidR="00055BF3" w:rsidRPr="00465AF9">
        <w:rPr>
          <w:rFonts w:ascii="Trebuchet MS" w:hAnsi="Trebuchet MS" w:cs="Arial"/>
          <w:color w:val="5F5F5F"/>
          <w:sz w:val="20"/>
          <w:szCs w:val="20"/>
        </w:rPr>
        <w:t xml:space="preserve">i giovani da 10 a 19 anni </w:t>
      </w:r>
      <w:r w:rsidR="001E4511" w:rsidRPr="00465AF9">
        <w:rPr>
          <w:rFonts w:ascii="Trebuchet MS" w:hAnsi="Trebuchet MS" w:cs="Arial"/>
          <w:color w:val="5F5F5F"/>
          <w:sz w:val="20"/>
          <w:szCs w:val="20"/>
        </w:rPr>
        <w:t xml:space="preserve">cala di </w:t>
      </w:r>
      <w:r w:rsidRPr="00465AF9">
        <w:rPr>
          <w:rFonts w:ascii="Trebuchet MS" w:hAnsi="Trebuchet MS" w:cs="Arial"/>
          <w:color w:val="5F5F5F"/>
          <w:sz w:val="20"/>
          <w:szCs w:val="20"/>
        </w:rPr>
        <w:t>7</w:t>
      </w:r>
      <w:r w:rsidR="001E4511" w:rsidRPr="00465AF9">
        <w:rPr>
          <w:rFonts w:ascii="Trebuchet MS" w:hAnsi="Trebuchet MS" w:cs="Arial"/>
          <w:color w:val="5F5F5F"/>
          <w:sz w:val="20"/>
          <w:szCs w:val="20"/>
        </w:rPr>
        <w:t xml:space="preserve"> mila unità (-</w:t>
      </w:r>
      <w:r w:rsidRPr="00465AF9">
        <w:rPr>
          <w:rFonts w:ascii="Trebuchet MS" w:hAnsi="Trebuchet MS" w:cs="Arial"/>
          <w:color w:val="5F5F5F"/>
          <w:sz w:val="20"/>
          <w:szCs w:val="20"/>
        </w:rPr>
        <w:t>12,5</w:t>
      </w:r>
      <w:r w:rsidR="001E4511" w:rsidRPr="00465AF9">
        <w:rPr>
          <w:rFonts w:ascii="Trebuchet MS" w:hAnsi="Trebuchet MS" w:cs="Arial"/>
          <w:color w:val="5F5F5F"/>
          <w:sz w:val="20"/>
          <w:szCs w:val="20"/>
        </w:rPr>
        <w:t xml:space="preserve">%, </w:t>
      </w:r>
      <w:r w:rsidR="0010371E" w:rsidRPr="00465AF9">
        <w:rPr>
          <w:rFonts w:ascii="Trebuchet MS" w:hAnsi="Trebuchet MS" w:cs="Arial"/>
          <w:color w:val="5F5F5F"/>
          <w:sz w:val="20"/>
          <w:szCs w:val="20"/>
        </w:rPr>
        <w:t xml:space="preserve">contro +0,7% </w:t>
      </w:r>
      <w:r w:rsidR="001E4511" w:rsidRPr="00465AF9">
        <w:rPr>
          <w:rFonts w:ascii="Trebuchet MS" w:hAnsi="Trebuchet MS" w:cs="Arial"/>
          <w:color w:val="5F5F5F"/>
          <w:sz w:val="20"/>
          <w:szCs w:val="20"/>
        </w:rPr>
        <w:t>a livello nazionale</w:t>
      </w:r>
      <w:r w:rsidR="0010371E" w:rsidRPr="00465AF9">
        <w:rPr>
          <w:rFonts w:ascii="Trebuchet MS" w:hAnsi="Trebuchet MS" w:cs="Arial"/>
          <w:color w:val="5F5F5F"/>
          <w:sz w:val="20"/>
          <w:szCs w:val="20"/>
        </w:rPr>
        <w:t>)</w:t>
      </w:r>
      <w:r w:rsidR="001E4511" w:rsidRPr="00465AF9">
        <w:rPr>
          <w:rFonts w:ascii="Trebuchet MS" w:hAnsi="Trebuchet MS" w:cs="Arial"/>
          <w:color w:val="5F5F5F"/>
          <w:sz w:val="20"/>
          <w:szCs w:val="20"/>
        </w:rPr>
        <w:t xml:space="preserve">, quello dei 20-29enni di </w:t>
      </w:r>
      <w:r w:rsidRPr="00465AF9">
        <w:rPr>
          <w:rFonts w:ascii="Trebuchet MS" w:hAnsi="Trebuchet MS" w:cs="Arial"/>
          <w:color w:val="5F5F5F"/>
          <w:sz w:val="20"/>
          <w:szCs w:val="20"/>
        </w:rPr>
        <w:t>9</w:t>
      </w:r>
      <w:r w:rsidR="001E4511" w:rsidRPr="00465AF9">
        <w:rPr>
          <w:rFonts w:ascii="Trebuchet MS" w:hAnsi="Trebuchet MS" w:cs="Arial"/>
          <w:color w:val="5F5F5F"/>
          <w:sz w:val="20"/>
          <w:szCs w:val="20"/>
        </w:rPr>
        <w:t xml:space="preserve"> mila (-</w:t>
      </w:r>
      <w:r w:rsidR="00195562">
        <w:rPr>
          <w:rFonts w:ascii="Trebuchet MS" w:hAnsi="Trebuchet MS" w:cs="Arial"/>
          <w:color w:val="5F5F5F"/>
          <w:sz w:val="20"/>
          <w:szCs w:val="20"/>
        </w:rPr>
        <w:t>1</w:t>
      </w:r>
      <w:r w:rsidRPr="00465AF9">
        <w:rPr>
          <w:rFonts w:ascii="Trebuchet MS" w:hAnsi="Trebuchet MS" w:cs="Arial"/>
          <w:color w:val="5F5F5F"/>
          <w:sz w:val="20"/>
          <w:szCs w:val="20"/>
        </w:rPr>
        <w:t>3,3</w:t>
      </w:r>
      <w:r w:rsidR="001E4511" w:rsidRPr="00465AF9">
        <w:rPr>
          <w:rFonts w:ascii="Trebuchet MS" w:hAnsi="Trebuchet MS" w:cs="Arial"/>
          <w:color w:val="5F5F5F"/>
          <w:sz w:val="20"/>
          <w:szCs w:val="20"/>
        </w:rPr>
        <w:t xml:space="preserve">%, Italia -3,8%). </w:t>
      </w:r>
      <w:r w:rsidR="00EA40F1" w:rsidRPr="00465AF9">
        <w:rPr>
          <w:rFonts w:ascii="Trebuchet MS" w:hAnsi="Trebuchet MS" w:cs="Arial"/>
          <w:color w:val="5F5F5F"/>
          <w:sz w:val="20"/>
          <w:szCs w:val="20"/>
        </w:rPr>
        <w:t>Cresc</w:t>
      </w:r>
      <w:r w:rsidR="00A401CA" w:rsidRPr="00465AF9">
        <w:rPr>
          <w:rFonts w:ascii="Trebuchet MS" w:hAnsi="Trebuchet MS" w:cs="Arial"/>
          <w:color w:val="5F5F5F"/>
          <w:sz w:val="20"/>
          <w:szCs w:val="20"/>
        </w:rPr>
        <w:t xml:space="preserve">ono, </w:t>
      </w:r>
      <w:r w:rsidRPr="00465AF9">
        <w:rPr>
          <w:rFonts w:ascii="Trebuchet MS" w:hAnsi="Trebuchet MS" w:cs="Arial"/>
          <w:color w:val="5F5F5F"/>
          <w:sz w:val="20"/>
          <w:szCs w:val="20"/>
        </w:rPr>
        <w:t>invece</w:t>
      </w:r>
      <w:r w:rsidR="00334A4C" w:rsidRPr="00465AF9">
        <w:rPr>
          <w:rFonts w:ascii="Trebuchet MS" w:hAnsi="Trebuchet MS" w:cs="Arial"/>
          <w:color w:val="5F5F5F"/>
          <w:sz w:val="20"/>
          <w:szCs w:val="20"/>
        </w:rPr>
        <w:t xml:space="preserve">, </w:t>
      </w:r>
      <w:r w:rsidR="00EA40F1" w:rsidRPr="00465AF9">
        <w:rPr>
          <w:rFonts w:ascii="Trebuchet MS" w:hAnsi="Trebuchet MS" w:cs="Arial"/>
          <w:color w:val="5F5F5F"/>
          <w:sz w:val="20"/>
          <w:szCs w:val="20"/>
        </w:rPr>
        <w:t>consis</w:t>
      </w:r>
      <w:r w:rsidR="00334A4C" w:rsidRPr="00465AF9">
        <w:rPr>
          <w:rFonts w:ascii="Trebuchet MS" w:hAnsi="Trebuchet MS" w:cs="Arial"/>
          <w:color w:val="5F5F5F"/>
          <w:sz w:val="20"/>
          <w:szCs w:val="20"/>
        </w:rPr>
        <w:t>tenza e peso delle classi più anziane. Sono 1</w:t>
      </w:r>
      <w:r w:rsidRPr="00465AF9">
        <w:rPr>
          <w:rFonts w:ascii="Trebuchet MS" w:hAnsi="Trebuchet MS" w:cs="Arial"/>
          <w:color w:val="5F5F5F"/>
          <w:sz w:val="20"/>
          <w:szCs w:val="20"/>
        </w:rPr>
        <w:t>30 mila</w:t>
      </w:r>
      <w:r w:rsidR="00334A4C" w:rsidRPr="00465AF9">
        <w:rPr>
          <w:rFonts w:ascii="Trebuchet MS" w:hAnsi="Trebuchet MS" w:cs="Arial"/>
          <w:color w:val="5F5F5F"/>
          <w:sz w:val="20"/>
          <w:szCs w:val="20"/>
        </w:rPr>
        <w:t xml:space="preserve"> i residenti con </w:t>
      </w:r>
      <w:r w:rsidR="00FD0291" w:rsidRPr="00465AF9">
        <w:rPr>
          <w:rFonts w:ascii="Trebuchet MS" w:hAnsi="Trebuchet MS" w:cs="Arial"/>
          <w:color w:val="5F5F5F"/>
          <w:sz w:val="20"/>
          <w:szCs w:val="20"/>
        </w:rPr>
        <w:t xml:space="preserve">più di 64 </w:t>
      </w:r>
      <w:r w:rsidR="00334A4C" w:rsidRPr="00465AF9">
        <w:rPr>
          <w:rFonts w:ascii="Trebuchet MS" w:hAnsi="Trebuchet MS" w:cs="Arial"/>
          <w:color w:val="5F5F5F"/>
          <w:sz w:val="20"/>
          <w:szCs w:val="20"/>
        </w:rPr>
        <w:t>anni (+</w:t>
      </w:r>
      <w:r w:rsidRPr="00465AF9">
        <w:rPr>
          <w:rFonts w:ascii="Trebuchet MS" w:hAnsi="Trebuchet MS" w:cs="Arial"/>
          <w:color w:val="5F5F5F"/>
          <w:sz w:val="20"/>
          <w:szCs w:val="20"/>
        </w:rPr>
        <w:t>9,8</w:t>
      </w:r>
      <w:r w:rsidR="00334A4C" w:rsidRPr="00465AF9">
        <w:rPr>
          <w:rFonts w:ascii="Trebuchet MS" w:hAnsi="Trebuchet MS" w:cs="Arial"/>
          <w:color w:val="5F5F5F"/>
          <w:sz w:val="20"/>
          <w:szCs w:val="20"/>
        </w:rPr>
        <w:t xml:space="preserve">% in </w:t>
      </w:r>
      <w:r w:rsidR="00427B53" w:rsidRPr="00465AF9">
        <w:rPr>
          <w:rFonts w:ascii="Trebuchet MS" w:hAnsi="Trebuchet MS" w:cs="Arial"/>
          <w:color w:val="5F5F5F"/>
          <w:sz w:val="20"/>
          <w:szCs w:val="20"/>
        </w:rPr>
        <w:t>Basilicata</w:t>
      </w:r>
      <w:r w:rsidR="00334A4C" w:rsidRPr="00465AF9">
        <w:rPr>
          <w:rFonts w:ascii="Trebuchet MS" w:hAnsi="Trebuchet MS" w:cs="Arial"/>
          <w:color w:val="5F5F5F"/>
          <w:sz w:val="20"/>
          <w:szCs w:val="20"/>
        </w:rPr>
        <w:t xml:space="preserve"> e +11,9% in Italia</w:t>
      </w:r>
      <w:r w:rsidR="00A401CA" w:rsidRPr="00465AF9">
        <w:rPr>
          <w:rFonts w:ascii="Trebuchet MS" w:hAnsi="Trebuchet MS" w:cs="Arial"/>
          <w:color w:val="5F5F5F"/>
          <w:sz w:val="20"/>
          <w:szCs w:val="20"/>
        </w:rPr>
        <w:t>)</w:t>
      </w:r>
      <w:r w:rsidR="00DB70B1" w:rsidRPr="00465AF9">
        <w:rPr>
          <w:rFonts w:ascii="Trebuchet MS" w:hAnsi="Trebuchet MS" w:cs="Arial"/>
          <w:color w:val="5F5F5F"/>
          <w:sz w:val="20"/>
          <w:szCs w:val="20"/>
        </w:rPr>
        <w:t xml:space="preserve">; i grandi anziani </w:t>
      </w:r>
      <w:r w:rsidR="009A43A3" w:rsidRPr="00465AF9">
        <w:rPr>
          <w:rFonts w:ascii="Trebuchet MS" w:hAnsi="Trebuchet MS" w:cs="Arial"/>
          <w:color w:val="5F5F5F"/>
          <w:sz w:val="20"/>
          <w:szCs w:val="20"/>
        </w:rPr>
        <w:t>(</w:t>
      </w:r>
      <w:r w:rsidR="00DB70B1" w:rsidRPr="00465AF9">
        <w:rPr>
          <w:rFonts w:ascii="Trebuchet MS" w:hAnsi="Trebuchet MS" w:cs="Arial"/>
          <w:color w:val="5F5F5F"/>
          <w:sz w:val="20"/>
          <w:szCs w:val="20"/>
        </w:rPr>
        <w:t>con 85 anni e più</w:t>
      </w:r>
      <w:r w:rsidR="009A43A3" w:rsidRPr="00465AF9">
        <w:rPr>
          <w:rFonts w:ascii="Trebuchet MS" w:hAnsi="Trebuchet MS" w:cs="Arial"/>
          <w:color w:val="5F5F5F"/>
          <w:sz w:val="20"/>
          <w:szCs w:val="20"/>
        </w:rPr>
        <w:t>)</w:t>
      </w:r>
      <w:r w:rsidR="001E4511" w:rsidRPr="00465AF9">
        <w:rPr>
          <w:rFonts w:ascii="Trebuchet MS" w:hAnsi="Trebuchet MS" w:cs="Arial"/>
          <w:color w:val="5F5F5F"/>
          <w:sz w:val="20"/>
          <w:szCs w:val="20"/>
        </w:rPr>
        <w:t xml:space="preserve"> passano da </w:t>
      </w:r>
      <w:r w:rsidRPr="00465AF9">
        <w:rPr>
          <w:rFonts w:ascii="Trebuchet MS" w:hAnsi="Trebuchet MS" w:cs="Arial"/>
          <w:color w:val="5F5F5F"/>
          <w:sz w:val="20"/>
          <w:szCs w:val="20"/>
        </w:rPr>
        <w:t>17</w:t>
      </w:r>
      <w:r w:rsidR="001E4511" w:rsidRPr="00465AF9">
        <w:rPr>
          <w:rFonts w:ascii="Trebuchet MS" w:hAnsi="Trebuchet MS" w:cs="Arial"/>
          <w:color w:val="5F5F5F"/>
          <w:sz w:val="20"/>
          <w:szCs w:val="20"/>
        </w:rPr>
        <w:t xml:space="preserve"> mila a </w:t>
      </w:r>
      <w:r w:rsidRPr="00465AF9">
        <w:rPr>
          <w:rFonts w:ascii="Trebuchet MS" w:hAnsi="Trebuchet MS" w:cs="Arial"/>
          <w:color w:val="5F5F5F"/>
          <w:sz w:val="20"/>
          <w:szCs w:val="20"/>
        </w:rPr>
        <w:t>22</w:t>
      </w:r>
      <w:r w:rsidR="00C13CC1" w:rsidRPr="00465AF9">
        <w:rPr>
          <w:rFonts w:ascii="Trebuchet MS" w:hAnsi="Trebuchet MS" w:cs="Arial"/>
          <w:color w:val="5F5F5F"/>
          <w:sz w:val="20"/>
          <w:szCs w:val="20"/>
        </w:rPr>
        <w:t xml:space="preserve"> mila </w:t>
      </w:r>
      <w:r w:rsidR="009A43A3" w:rsidRPr="00465AF9">
        <w:rPr>
          <w:rFonts w:ascii="Trebuchet MS" w:hAnsi="Trebuchet MS" w:cs="Arial"/>
          <w:color w:val="5F5F5F"/>
          <w:sz w:val="20"/>
          <w:szCs w:val="20"/>
        </w:rPr>
        <w:t>(+</w:t>
      </w:r>
      <w:r w:rsidR="00A401CA" w:rsidRPr="00465AF9">
        <w:rPr>
          <w:rFonts w:ascii="Trebuchet MS" w:hAnsi="Trebuchet MS" w:cs="Arial"/>
          <w:color w:val="5F5F5F"/>
          <w:sz w:val="20"/>
          <w:szCs w:val="20"/>
        </w:rPr>
        <w:t>3</w:t>
      </w:r>
      <w:r w:rsidRPr="00465AF9">
        <w:rPr>
          <w:rFonts w:ascii="Trebuchet MS" w:hAnsi="Trebuchet MS" w:cs="Arial"/>
          <w:color w:val="5F5F5F"/>
          <w:sz w:val="20"/>
          <w:szCs w:val="20"/>
        </w:rPr>
        <w:t>4,1</w:t>
      </w:r>
      <w:r w:rsidR="00A401CA" w:rsidRPr="00465AF9">
        <w:rPr>
          <w:rFonts w:ascii="Trebuchet MS" w:hAnsi="Trebuchet MS" w:cs="Arial"/>
          <w:color w:val="5F5F5F"/>
          <w:sz w:val="20"/>
          <w:szCs w:val="20"/>
        </w:rPr>
        <w:t>%</w:t>
      </w:r>
      <w:r w:rsidR="009A43A3" w:rsidRPr="00465AF9">
        <w:rPr>
          <w:rFonts w:ascii="Trebuchet MS" w:hAnsi="Trebuchet MS" w:cs="Arial"/>
          <w:color w:val="5F5F5F"/>
          <w:sz w:val="20"/>
          <w:szCs w:val="20"/>
        </w:rPr>
        <w:t>,+29,4%</w:t>
      </w:r>
      <w:r w:rsidR="00A401CA" w:rsidRPr="00465AF9">
        <w:rPr>
          <w:rFonts w:ascii="Trebuchet MS" w:hAnsi="Trebuchet MS" w:cs="Arial"/>
          <w:color w:val="5F5F5F"/>
          <w:sz w:val="20"/>
          <w:szCs w:val="20"/>
        </w:rPr>
        <w:t>Italia).</w:t>
      </w:r>
    </w:p>
    <w:p w:rsidR="008E4B1E" w:rsidRDefault="008E4B1E" w:rsidP="00457809">
      <w:pPr>
        <w:pStyle w:val="00TitoloProspettoFigura"/>
        <w:keepLines/>
        <w:spacing w:before="240" w:after="120"/>
        <w:ind w:left="0"/>
        <w:rPr>
          <w:rFonts w:cs="Times New Roman"/>
          <w:caps w:val="0"/>
          <w:color w:val="595959" w:themeColor="text1" w:themeTint="A6"/>
          <w:sz w:val="22"/>
          <w:szCs w:val="22"/>
        </w:rPr>
      </w:pPr>
    </w:p>
    <w:p w:rsidR="00A53621" w:rsidRDefault="006A3FF5" w:rsidP="00457809">
      <w:pPr>
        <w:pStyle w:val="00TitoloProspettoFigura"/>
        <w:keepLines/>
        <w:spacing w:before="240" w:after="120"/>
        <w:ind w:left="0"/>
        <w:rPr>
          <w:b w:val="0"/>
          <w:bCs w:val="0"/>
          <w:caps w:val="0"/>
          <w:color w:val="595959" w:themeColor="text1" w:themeTint="A6"/>
        </w:rPr>
      </w:pPr>
      <w:r w:rsidRPr="00710C34">
        <w:rPr>
          <w:rFonts w:cs="Times New Roman"/>
          <w:caps w:val="0"/>
          <w:color w:val="595959" w:themeColor="text1" w:themeTint="A6"/>
          <w:sz w:val="22"/>
          <w:szCs w:val="22"/>
        </w:rPr>
        <w:t xml:space="preserve">FIGURA 4. </w:t>
      </w:r>
      <w:r w:rsidRPr="00710C34">
        <w:rPr>
          <w:rFonts w:cs="Times New Roman"/>
          <w:b w:val="0"/>
          <w:bCs w:val="0"/>
          <w:caps w:val="0"/>
          <w:color w:val="595959" w:themeColor="text1" w:themeTint="A6"/>
          <w:sz w:val="22"/>
          <w:szCs w:val="22"/>
        </w:rPr>
        <w:t xml:space="preserve">PIRAMIDE DELLE ETÀ DELLA POPOLAZIONE RESIDENTE, </w:t>
      </w:r>
      <w:r w:rsidR="008E0A0A">
        <w:rPr>
          <w:rFonts w:cs="Times New Roman"/>
          <w:b w:val="0"/>
          <w:bCs w:val="0"/>
          <w:caps w:val="0"/>
          <w:color w:val="595959" w:themeColor="text1" w:themeTint="A6"/>
          <w:sz w:val="22"/>
          <w:szCs w:val="22"/>
        </w:rPr>
        <w:t>BASILICATA</w:t>
      </w:r>
      <w:r w:rsidRPr="00710C34">
        <w:rPr>
          <w:rFonts w:cs="Times New Roman"/>
          <w:b w:val="0"/>
          <w:bCs w:val="0"/>
          <w:caps w:val="0"/>
          <w:color w:val="595959" w:themeColor="text1" w:themeTint="A6"/>
          <w:sz w:val="22"/>
          <w:szCs w:val="22"/>
        </w:rPr>
        <w:t>E ITALIA</w:t>
      </w:r>
      <w:r w:rsidRPr="00710C34">
        <w:rPr>
          <w:color w:val="595959" w:themeColor="text1" w:themeTint="A6"/>
        </w:rPr>
        <w:t xml:space="preserve">. </w:t>
      </w:r>
      <w:r w:rsidRPr="00710C34">
        <w:rPr>
          <w:b w:val="0"/>
          <w:bCs w:val="0"/>
          <w:caps w:val="0"/>
          <w:color w:val="595959" w:themeColor="text1" w:themeTint="A6"/>
        </w:rPr>
        <w:t>Censimenti 2019 e 2011, valori percentuali</w:t>
      </w:r>
    </w:p>
    <w:tbl>
      <w:tblPr>
        <w:tblStyle w:val="Grigliatabel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single" w:sz="4" w:space="0" w:color="D9D9D9" w:themeColor="background1" w:themeShade="D9"/>
        </w:tblBorders>
        <w:tblLook w:val="04A0"/>
      </w:tblPr>
      <w:tblGrid>
        <w:gridCol w:w="4933"/>
        <w:gridCol w:w="4921"/>
      </w:tblGrid>
      <w:tr w:rsidR="001A7B7A" w:rsidTr="001A7B7A">
        <w:tc>
          <w:tcPr>
            <w:tcW w:w="2503" w:type="pct"/>
            <w:vAlign w:val="center"/>
          </w:tcPr>
          <w:p w:rsidR="001A7B7A" w:rsidRDefault="001A7B7A" w:rsidP="00D93562">
            <w:pPr>
              <w:pStyle w:val="00TitoloProspettoFigura"/>
              <w:keepLines/>
              <w:spacing w:before="240" w:after="60"/>
              <w:ind w:left="0"/>
              <w:jc w:val="center"/>
              <w:rPr>
                <w:b w:val="0"/>
                <w:bCs w:val="0"/>
                <w:caps w:val="0"/>
                <w:color w:val="595959" w:themeColor="text1" w:themeTint="A6"/>
              </w:rPr>
            </w:pPr>
            <w:r w:rsidRPr="00912E73">
              <w:rPr>
                <w:rFonts w:cs="Times New Roman"/>
                <w:caps w:val="0"/>
                <w:color w:val="595959" w:themeColor="text1" w:themeTint="A6"/>
                <w:sz w:val="16"/>
                <w:szCs w:val="16"/>
              </w:rPr>
              <w:t>Basilicata</w:t>
            </w:r>
          </w:p>
        </w:tc>
        <w:tc>
          <w:tcPr>
            <w:tcW w:w="2497" w:type="pct"/>
            <w:vAlign w:val="center"/>
          </w:tcPr>
          <w:p w:rsidR="001A7B7A" w:rsidRDefault="001A7B7A" w:rsidP="00D93562">
            <w:pPr>
              <w:pStyle w:val="00TitoloProspettoFigura"/>
              <w:keepLines/>
              <w:spacing w:before="240" w:after="60"/>
              <w:ind w:left="0"/>
              <w:jc w:val="center"/>
              <w:rPr>
                <w:b w:val="0"/>
                <w:bCs w:val="0"/>
                <w:caps w:val="0"/>
                <w:color w:val="595959" w:themeColor="text1" w:themeTint="A6"/>
              </w:rPr>
            </w:pPr>
            <w:r w:rsidRPr="00912E73">
              <w:rPr>
                <w:rFonts w:cs="Times New Roman"/>
                <w:caps w:val="0"/>
                <w:color w:val="595959" w:themeColor="text1" w:themeTint="A6"/>
                <w:sz w:val="16"/>
                <w:szCs w:val="16"/>
              </w:rPr>
              <w:t>Italia</w:t>
            </w:r>
          </w:p>
        </w:tc>
      </w:tr>
      <w:tr w:rsidR="001A7B7A" w:rsidTr="001A7B7A">
        <w:tblPrEx>
          <w:tblCellMar>
            <w:left w:w="70" w:type="dxa"/>
            <w:right w:w="70" w:type="dxa"/>
          </w:tblCellMar>
        </w:tblPrEx>
        <w:trPr>
          <w:trHeight w:val="4252"/>
        </w:trPr>
        <w:tc>
          <w:tcPr>
            <w:tcW w:w="2503" w:type="pct"/>
            <w:vAlign w:val="center"/>
          </w:tcPr>
          <w:p w:rsidR="001A7B7A" w:rsidRDefault="001A7B7A" w:rsidP="001A7B7A">
            <w:pPr>
              <w:pStyle w:val="00TitoloProspettoFigura"/>
              <w:keepLines/>
              <w:ind w:left="0"/>
              <w:jc w:val="center"/>
              <w:rPr>
                <w:b w:val="0"/>
                <w:bCs w:val="0"/>
                <w:caps w:val="0"/>
                <w:color w:val="595959" w:themeColor="text1" w:themeTint="A6"/>
              </w:rPr>
            </w:pPr>
            <w:r>
              <w:rPr>
                <w:noProof/>
              </w:rPr>
              <w:drawing>
                <wp:inline distT="0" distB="0" distL="0" distR="0">
                  <wp:extent cx="3060000" cy="2700000"/>
                  <wp:effectExtent l="0" t="0" r="7620" b="0"/>
                  <wp:docPr id="8" name="Grafico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2497" w:type="pct"/>
            <w:vAlign w:val="center"/>
          </w:tcPr>
          <w:p w:rsidR="001A7B7A" w:rsidRDefault="001A7B7A" w:rsidP="001A7B7A">
            <w:pPr>
              <w:pStyle w:val="00TitoloProspettoFigura"/>
              <w:keepLines/>
              <w:ind w:left="0"/>
              <w:jc w:val="center"/>
              <w:rPr>
                <w:b w:val="0"/>
                <w:bCs w:val="0"/>
                <w:caps w:val="0"/>
                <w:color w:val="595959" w:themeColor="text1" w:themeTint="A6"/>
              </w:rPr>
            </w:pPr>
            <w:r>
              <w:rPr>
                <w:noProof/>
              </w:rPr>
              <w:drawing>
                <wp:inline distT="0" distB="0" distL="0" distR="0">
                  <wp:extent cx="3060000" cy="2700000"/>
                  <wp:effectExtent l="0" t="0" r="0" b="0"/>
                  <wp:docPr id="9" name="Grafico 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rsidR="00555ACF" w:rsidRDefault="00555ACF" w:rsidP="005B5D9A">
      <w:pPr>
        <w:spacing w:before="360" w:after="120"/>
        <w:jc w:val="both"/>
        <w:rPr>
          <w:rFonts w:ascii="Trebuchet MS" w:hAnsi="Trebuchet MS" w:cs="Arial"/>
          <w:color w:val="5F5F5F"/>
          <w:sz w:val="20"/>
          <w:szCs w:val="20"/>
        </w:rPr>
      </w:pPr>
      <w:r w:rsidRPr="00AC51DB">
        <w:rPr>
          <w:rFonts w:ascii="Trebuchet MS" w:hAnsi="Trebuchet MS" w:cs="Arial"/>
          <w:color w:val="5F5F5F"/>
          <w:sz w:val="20"/>
          <w:szCs w:val="20"/>
        </w:rPr>
        <w:t>Le variazioni nella composizione per età della popolazione si riflettono sui principali indicatori di struttura demografica</w:t>
      </w:r>
      <w:r w:rsidR="009A43A3" w:rsidRPr="00AC51DB">
        <w:rPr>
          <w:rFonts w:ascii="Trebuchet MS" w:hAnsi="Trebuchet MS" w:cs="Arial"/>
          <w:color w:val="5F5F5F"/>
          <w:sz w:val="20"/>
          <w:szCs w:val="20"/>
        </w:rPr>
        <w:t>.L</w:t>
      </w:r>
      <w:r w:rsidRPr="00AC51DB">
        <w:rPr>
          <w:rFonts w:ascii="Trebuchet MS" w:hAnsi="Trebuchet MS" w:cs="Arial"/>
          <w:color w:val="5F5F5F"/>
          <w:sz w:val="20"/>
          <w:szCs w:val="20"/>
        </w:rPr>
        <w:t>’età media sale da 4</w:t>
      </w:r>
      <w:r w:rsidR="00465AF9" w:rsidRPr="00AC51DB">
        <w:rPr>
          <w:rFonts w:ascii="Trebuchet MS" w:hAnsi="Trebuchet MS" w:cs="Arial"/>
          <w:color w:val="5F5F5F"/>
          <w:sz w:val="20"/>
          <w:szCs w:val="20"/>
        </w:rPr>
        <w:t>3</w:t>
      </w:r>
      <w:r w:rsidRPr="00AC51DB">
        <w:rPr>
          <w:rFonts w:ascii="Trebuchet MS" w:hAnsi="Trebuchet MS" w:cs="Arial"/>
          <w:color w:val="5F5F5F"/>
          <w:sz w:val="20"/>
          <w:szCs w:val="20"/>
        </w:rPr>
        <w:t>,</w:t>
      </w:r>
      <w:r w:rsidR="00AC51DB" w:rsidRPr="00AC51DB">
        <w:rPr>
          <w:rFonts w:ascii="Trebuchet MS" w:hAnsi="Trebuchet MS" w:cs="Arial"/>
          <w:color w:val="5F5F5F"/>
          <w:sz w:val="20"/>
          <w:szCs w:val="20"/>
        </w:rPr>
        <w:t>2</w:t>
      </w:r>
      <w:r w:rsidRPr="00AC51DB">
        <w:rPr>
          <w:rFonts w:ascii="Trebuchet MS" w:hAnsi="Trebuchet MS" w:cs="Arial"/>
          <w:color w:val="5F5F5F"/>
          <w:sz w:val="20"/>
          <w:szCs w:val="20"/>
        </w:rPr>
        <w:t xml:space="preserve"> anni del 2011 a </w:t>
      </w:r>
      <w:r w:rsidR="00AC51DB" w:rsidRPr="00AC51DB">
        <w:rPr>
          <w:rFonts w:ascii="Trebuchet MS" w:hAnsi="Trebuchet MS" w:cs="Arial"/>
          <w:color w:val="5F5F5F"/>
          <w:sz w:val="20"/>
          <w:szCs w:val="20"/>
        </w:rPr>
        <w:t>45,7</w:t>
      </w:r>
      <w:r w:rsidRPr="00AC51DB">
        <w:rPr>
          <w:rFonts w:ascii="Trebuchet MS" w:hAnsi="Trebuchet MS" w:cs="Arial"/>
          <w:color w:val="5F5F5F"/>
          <w:sz w:val="20"/>
          <w:szCs w:val="20"/>
        </w:rPr>
        <w:t xml:space="preserve"> del 2019 (in </w:t>
      </w:r>
      <w:r w:rsidR="009A43A3" w:rsidRPr="00AC51DB">
        <w:rPr>
          <w:rFonts w:ascii="Trebuchet MS" w:hAnsi="Trebuchet MS" w:cs="Arial"/>
          <w:color w:val="5F5F5F"/>
          <w:sz w:val="20"/>
          <w:szCs w:val="20"/>
        </w:rPr>
        <w:t xml:space="preserve">media </w:t>
      </w:r>
      <w:r w:rsidRPr="00AC51DB">
        <w:rPr>
          <w:rFonts w:ascii="Trebuchet MS" w:hAnsi="Trebuchet MS" w:cs="Arial"/>
          <w:color w:val="5F5F5F"/>
          <w:sz w:val="20"/>
          <w:szCs w:val="20"/>
        </w:rPr>
        <w:t xml:space="preserve">Italia da 43,3 a 45,2); l’indice di vecchiaia </w:t>
      </w:r>
      <w:r w:rsidR="00284D0D" w:rsidRPr="00AC51DB">
        <w:rPr>
          <w:rFonts w:ascii="Trebuchet MS" w:hAnsi="Trebuchet MS" w:cs="Arial"/>
          <w:color w:val="5F5F5F"/>
          <w:sz w:val="20"/>
          <w:szCs w:val="20"/>
        </w:rPr>
        <w:t xml:space="preserve">(% popolazione in età 65 e più/popolazione in età 0-14) </w:t>
      </w:r>
      <w:r w:rsidRPr="00AC51DB">
        <w:rPr>
          <w:rFonts w:ascii="Trebuchet MS" w:hAnsi="Trebuchet MS" w:cs="Arial"/>
          <w:color w:val="5F5F5F"/>
          <w:sz w:val="20"/>
          <w:szCs w:val="20"/>
        </w:rPr>
        <w:t xml:space="preserve">passa da </w:t>
      </w:r>
      <w:r w:rsidR="00AC51DB" w:rsidRPr="00AC51DB">
        <w:rPr>
          <w:rFonts w:ascii="Trebuchet MS" w:hAnsi="Trebuchet MS" w:cs="Arial"/>
          <w:color w:val="5F5F5F"/>
          <w:sz w:val="20"/>
          <w:szCs w:val="20"/>
        </w:rPr>
        <w:t>154,1</w:t>
      </w:r>
      <w:r w:rsidRPr="00AC51DB">
        <w:rPr>
          <w:rFonts w:ascii="Trebuchet MS" w:hAnsi="Trebuchet MS" w:cs="Arial"/>
          <w:color w:val="5F5F5F"/>
          <w:sz w:val="20"/>
          <w:szCs w:val="20"/>
        </w:rPr>
        <w:t xml:space="preserve"> a </w:t>
      </w:r>
      <w:r w:rsidR="00AC51DB" w:rsidRPr="00AC51DB">
        <w:rPr>
          <w:rFonts w:ascii="Trebuchet MS" w:hAnsi="Trebuchet MS" w:cs="Arial"/>
          <w:color w:val="5F5F5F"/>
          <w:sz w:val="20"/>
          <w:szCs w:val="20"/>
        </w:rPr>
        <w:t>200,8</w:t>
      </w:r>
      <w:r w:rsidR="00457809">
        <w:rPr>
          <w:rFonts w:ascii="Trebuchet MS" w:hAnsi="Trebuchet MS" w:cs="Arial"/>
          <w:color w:val="5F5F5F"/>
          <w:sz w:val="20"/>
          <w:szCs w:val="20"/>
        </w:rPr>
        <w:t>;</w:t>
      </w:r>
      <w:r w:rsidRPr="00AC51DB">
        <w:rPr>
          <w:rFonts w:ascii="Trebuchet MS" w:hAnsi="Trebuchet MS" w:cs="Arial"/>
          <w:color w:val="5F5F5F"/>
          <w:sz w:val="20"/>
          <w:szCs w:val="20"/>
        </w:rPr>
        <w:t xml:space="preserve"> l’indice di dipendenza degli anziani </w:t>
      </w:r>
      <w:r w:rsidR="00180510" w:rsidRPr="00AC51DB">
        <w:rPr>
          <w:rFonts w:ascii="Trebuchet MS" w:hAnsi="Trebuchet MS" w:cs="Arial"/>
          <w:color w:val="5F5F5F"/>
          <w:sz w:val="20"/>
          <w:szCs w:val="20"/>
        </w:rPr>
        <w:t xml:space="preserve">(% popolazione in età 65 e più/popolazione in età 15-64) passa </w:t>
      </w:r>
      <w:r w:rsidRPr="00AC51DB">
        <w:rPr>
          <w:rFonts w:ascii="Trebuchet MS" w:hAnsi="Trebuchet MS" w:cs="Arial"/>
          <w:color w:val="5F5F5F"/>
          <w:sz w:val="20"/>
          <w:szCs w:val="20"/>
        </w:rPr>
        <w:t xml:space="preserve">da </w:t>
      </w:r>
      <w:r w:rsidR="00AC51DB" w:rsidRPr="00AC51DB">
        <w:rPr>
          <w:rFonts w:ascii="Trebuchet MS" w:hAnsi="Trebuchet MS" w:cs="Arial"/>
          <w:color w:val="5F5F5F"/>
          <w:sz w:val="20"/>
          <w:szCs w:val="20"/>
        </w:rPr>
        <w:t>30,9</w:t>
      </w:r>
      <w:r w:rsidRPr="00AC51DB">
        <w:rPr>
          <w:rFonts w:ascii="Trebuchet MS" w:hAnsi="Trebuchet MS" w:cs="Arial"/>
          <w:color w:val="5F5F5F"/>
          <w:sz w:val="20"/>
          <w:szCs w:val="20"/>
        </w:rPr>
        <w:t xml:space="preserve"> a </w:t>
      </w:r>
      <w:r w:rsidR="00AC51DB" w:rsidRPr="00AC51DB">
        <w:rPr>
          <w:rFonts w:ascii="Trebuchet MS" w:hAnsi="Trebuchet MS" w:cs="Arial"/>
          <w:color w:val="5F5F5F"/>
          <w:sz w:val="20"/>
          <w:szCs w:val="20"/>
        </w:rPr>
        <w:t>36,3</w:t>
      </w:r>
      <w:r w:rsidR="009A43A3" w:rsidRPr="00AC51DB">
        <w:rPr>
          <w:rFonts w:ascii="Trebuchet MS" w:hAnsi="Trebuchet MS" w:cs="Arial"/>
          <w:color w:val="5F5F5F"/>
          <w:sz w:val="20"/>
          <w:szCs w:val="20"/>
        </w:rPr>
        <w:t>. S</w:t>
      </w:r>
      <w:r w:rsidRPr="00AC51DB">
        <w:rPr>
          <w:rFonts w:ascii="Trebuchet MS" w:hAnsi="Trebuchet MS" w:cs="Arial"/>
          <w:color w:val="5F5F5F"/>
          <w:sz w:val="20"/>
          <w:szCs w:val="20"/>
        </w:rPr>
        <w:t xml:space="preserve">i modifica </w:t>
      </w:r>
      <w:r w:rsidR="00D5536E" w:rsidRPr="00AC51DB">
        <w:rPr>
          <w:rFonts w:ascii="Trebuchet MS" w:hAnsi="Trebuchet MS" w:cs="Arial"/>
          <w:color w:val="5F5F5F"/>
          <w:sz w:val="20"/>
          <w:szCs w:val="20"/>
        </w:rPr>
        <w:t>sensibilmente</w:t>
      </w:r>
      <w:r w:rsidRPr="00AC51DB">
        <w:rPr>
          <w:rFonts w:ascii="Trebuchet MS" w:hAnsi="Trebuchet MS" w:cs="Arial"/>
          <w:color w:val="5F5F5F"/>
          <w:sz w:val="20"/>
          <w:szCs w:val="20"/>
        </w:rPr>
        <w:t xml:space="preserve"> anche </w:t>
      </w:r>
      <w:r w:rsidR="009A43A3" w:rsidRPr="00AC51DB">
        <w:rPr>
          <w:rFonts w:ascii="Trebuchet MS" w:hAnsi="Trebuchet MS" w:cs="Arial"/>
          <w:color w:val="5F5F5F"/>
          <w:sz w:val="20"/>
          <w:szCs w:val="20"/>
        </w:rPr>
        <w:t xml:space="preserve">il </w:t>
      </w:r>
      <w:r w:rsidRPr="00AC51DB">
        <w:rPr>
          <w:rFonts w:ascii="Trebuchet MS" w:hAnsi="Trebuchet MS" w:cs="Arial"/>
          <w:color w:val="5F5F5F"/>
          <w:sz w:val="20"/>
          <w:szCs w:val="20"/>
        </w:rPr>
        <w:t>rapporto tra la componente più anziana e quella più giovane in età lavorativa</w:t>
      </w:r>
      <w:r w:rsidR="00352419" w:rsidRPr="00AC51DB">
        <w:rPr>
          <w:rFonts w:ascii="Trebuchet MS" w:hAnsi="Trebuchet MS" w:cs="Arial"/>
          <w:color w:val="5F5F5F"/>
          <w:sz w:val="20"/>
          <w:szCs w:val="20"/>
        </w:rPr>
        <w:t xml:space="preserve"> (indice di struttura della popolazione attiva)</w:t>
      </w:r>
      <w:r w:rsidR="009A43A3" w:rsidRPr="00AC51DB">
        <w:rPr>
          <w:rFonts w:ascii="Trebuchet MS" w:hAnsi="Trebuchet MS" w:cs="Arial"/>
          <w:color w:val="5F5F5F"/>
          <w:sz w:val="20"/>
          <w:szCs w:val="20"/>
        </w:rPr>
        <w:t xml:space="preserve">: </w:t>
      </w:r>
      <w:r w:rsidRPr="00AC51DB">
        <w:rPr>
          <w:rFonts w:ascii="Trebuchet MS" w:hAnsi="Trebuchet MS" w:cs="Arial"/>
          <w:color w:val="5F5F5F"/>
          <w:sz w:val="20"/>
          <w:szCs w:val="20"/>
        </w:rPr>
        <w:t xml:space="preserve">mentre nel 2011 </w:t>
      </w:r>
      <w:r w:rsidR="0062765B" w:rsidRPr="00AC51DB">
        <w:rPr>
          <w:rFonts w:ascii="Trebuchet MS" w:hAnsi="Trebuchet MS" w:cs="Arial"/>
          <w:color w:val="5F5F5F"/>
          <w:sz w:val="20"/>
          <w:szCs w:val="20"/>
        </w:rPr>
        <w:t>ci sono</w:t>
      </w:r>
      <w:r w:rsidRPr="00AC51DB">
        <w:rPr>
          <w:rFonts w:ascii="Trebuchet MS" w:hAnsi="Trebuchet MS" w:cs="Arial"/>
          <w:color w:val="5F5F5F"/>
          <w:sz w:val="20"/>
          <w:szCs w:val="20"/>
        </w:rPr>
        <w:t xml:space="preserve"> 1</w:t>
      </w:r>
      <w:r w:rsidR="00AC51DB" w:rsidRPr="00AC51DB">
        <w:rPr>
          <w:rFonts w:ascii="Trebuchet MS" w:hAnsi="Trebuchet MS" w:cs="Arial"/>
          <w:color w:val="5F5F5F"/>
          <w:sz w:val="20"/>
          <w:szCs w:val="20"/>
        </w:rPr>
        <w:t>13</w:t>
      </w:r>
      <w:r w:rsidRPr="00AC51DB">
        <w:rPr>
          <w:rFonts w:ascii="Trebuchet MS" w:hAnsi="Trebuchet MS" w:cs="Arial"/>
          <w:color w:val="5F5F5F"/>
          <w:sz w:val="20"/>
          <w:szCs w:val="20"/>
        </w:rPr>
        <w:t xml:space="preserve"> residenti nella classe di età 40-64 ogni 100 residenti con età </w:t>
      </w:r>
      <w:r w:rsidR="00D5536E" w:rsidRPr="00AC51DB">
        <w:rPr>
          <w:rFonts w:ascii="Trebuchet MS" w:hAnsi="Trebuchet MS" w:cs="Arial"/>
          <w:color w:val="5F5F5F"/>
          <w:sz w:val="20"/>
          <w:szCs w:val="20"/>
        </w:rPr>
        <w:t>compresa</w:t>
      </w:r>
      <w:r w:rsidRPr="00AC51DB">
        <w:rPr>
          <w:rFonts w:ascii="Trebuchet MS" w:hAnsi="Trebuchet MS" w:cs="Arial"/>
          <w:color w:val="5F5F5F"/>
          <w:sz w:val="20"/>
          <w:szCs w:val="20"/>
        </w:rPr>
        <w:t xml:space="preserve"> fra 15 e 39 anni, nel 2019 se ne contano 1</w:t>
      </w:r>
      <w:r w:rsidR="00AC51DB" w:rsidRPr="00AC51DB">
        <w:rPr>
          <w:rFonts w:ascii="Trebuchet MS" w:hAnsi="Trebuchet MS" w:cs="Arial"/>
          <w:color w:val="5F5F5F"/>
          <w:sz w:val="20"/>
          <w:szCs w:val="20"/>
        </w:rPr>
        <w:t>33</w:t>
      </w:r>
      <w:r w:rsidRPr="00AC51DB">
        <w:rPr>
          <w:rFonts w:ascii="Trebuchet MS" w:hAnsi="Trebuchet MS" w:cs="Arial"/>
          <w:color w:val="5F5F5F"/>
          <w:sz w:val="20"/>
          <w:szCs w:val="20"/>
        </w:rPr>
        <w:t>.</w:t>
      </w:r>
    </w:p>
    <w:p w:rsidR="00B162C7" w:rsidRPr="00710C34" w:rsidRDefault="00B162C7" w:rsidP="00E072ED">
      <w:pPr>
        <w:keepNext/>
        <w:keepLines/>
        <w:spacing w:before="240" w:after="60"/>
        <w:jc w:val="both"/>
        <w:rPr>
          <w:rFonts w:ascii="Arial Narrow" w:hAnsi="Arial Narrow"/>
          <w:color w:val="595959" w:themeColor="text1" w:themeTint="A6"/>
          <w:sz w:val="20"/>
          <w:szCs w:val="20"/>
        </w:rPr>
      </w:pPr>
      <w:r w:rsidRPr="00710C34">
        <w:rPr>
          <w:rFonts w:ascii="Arial Narrow" w:hAnsi="Arial Narrow"/>
          <w:b/>
          <w:bCs/>
          <w:color w:val="595959" w:themeColor="text1" w:themeTint="A6"/>
          <w:sz w:val="22"/>
          <w:szCs w:val="22"/>
        </w:rPr>
        <w:t>PROSPETTO 3.</w:t>
      </w:r>
      <w:r w:rsidRPr="00710C34">
        <w:rPr>
          <w:rFonts w:ascii="Arial Narrow" w:hAnsi="Arial Narrow"/>
          <w:color w:val="595959" w:themeColor="text1" w:themeTint="A6"/>
          <w:sz w:val="22"/>
          <w:szCs w:val="22"/>
        </w:rPr>
        <w:t xml:space="preserve">INDICATORI DI STRUTTURA DELLA POPOLAZIONE, </w:t>
      </w:r>
      <w:r w:rsidR="008E0A0A">
        <w:rPr>
          <w:rFonts w:ascii="Arial Narrow" w:hAnsi="Arial Narrow"/>
          <w:color w:val="595959" w:themeColor="text1" w:themeTint="A6"/>
          <w:sz w:val="22"/>
          <w:szCs w:val="22"/>
        </w:rPr>
        <w:t>BASILICATA</w:t>
      </w:r>
      <w:r w:rsidRPr="00710C34">
        <w:rPr>
          <w:rFonts w:ascii="Arial Narrow" w:hAnsi="Arial Narrow"/>
          <w:color w:val="595959" w:themeColor="text1" w:themeTint="A6"/>
          <w:sz w:val="22"/>
          <w:szCs w:val="22"/>
        </w:rPr>
        <w:t>E ITALIA</w:t>
      </w:r>
      <w:r w:rsidRPr="00710C34">
        <w:rPr>
          <w:rFonts w:ascii="Arial Narrow" w:hAnsi="Arial Narrow"/>
          <w:color w:val="595959" w:themeColor="text1" w:themeTint="A6"/>
          <w:sz w:val="20"/>
          <w:szCs w:val="20"/>
        </w:rPr>
        <w:t xml:space="preserve">. Censimenti </w:t>
      </w:r>
      <w:r w:rsidR="00F61DDA">
        <w:rPr>
          <w:rFonts w:ascii="Arial Narrow" w:hAnsi="Arial Narrow"/>
          <w:color w:val="595959" w:themeColor="text1" w:themeTint="A6"/>
          <w:sz w:val="20"/>
          <w:szCs w:val="20"/>
        </w:rPr>
        <w:t xml:space="preserve">2018, </w:t>
      </w:r>
      <w:r w:rsidRPr="00710C34">
        <w:rPr>
          <w:rFonts w:ascii="Arial Narrow" w:hAnsi="Arial Narrow"/>
          <w:color w:val="595959" w:themeColor="text1" w:themeTint="A6"/>
          <w:sz w:val="20"/>
          <w:szCs w:val="20"/>
        </w:rPr>
        <w:t>2019 e 2011</w:t>
      </w:r>
    </w:p>
    <w:tbl>
      <w:tblPr>
        <w:tblW w:w="5000" w:type="pct"/>
        <w:tblBorders>
          <w:top w:val="single" w:sz="4" w:space="0" w:color="auto"/>
          <w:bottom w:val="single" w:sz="4" w:space="0" w:color="auto"/>
          <w:insideH w:val="single" w:sz="4" w:space="0" w:color="auto"/>
        </w:tblBorders>
        <w:tblCellMar>
          <w:left w:w="70" w:type="dxa"/>
          <w:right w:w="70" w:type="dxa"/>
        </w:tblCellMar>
        <w:tblLook w:val="04A0"/>
      </w:tblPr>
      <w:tblGrid>
        <w:gridCol w:w="2834"/>
        <w:gridCol w:w="1154"/>
        <w:gridCol w:w="1142"/>
        <w:gridCol w:w="1176"/>
        <w:gridCol w:w="1176"/>
        <w:gridCol w:w="1154"/>
        <w:gridCol w:w="1142"/>
      </w:tblGrid>
      <w:tr w:rsidR="00D5536E" w:rsidTr="00623229">
        <w:trPr>
          <w:trHeight w:val="255"/>
        </w:trPr>
        <w:tc>
          <w:tcPr>
            <w:tcW w:w="2748" w:type="dxa"/>
            <w:vMerge w:val="restart"/>
            <w:shd w:val="clear" w:color="000000" w:fill="FFFFFF"/>
            <w:noWrap/>
            <w:vAlign w:val="center"/>
            <w:hideMark/>
          </w:tcPr>
          <w:p w:rsidR="00D5536E" w:rsidRDefault="00D5536E" w:rsidP="00F26E81">
            <w:pPr>
              <w:spacing w:before="20" w:after="40"/>
              <w:rPr>
                <w:rFonts w:ascii="Arial Narrow" w:hAnsi="Arial Narrow" w:cs="Calibri"/>
                <w:b/>
                <w:bCs/>
                <w:color w:val="000000"/>
                <w:sz w:val="18"/>
                <w:szCs w:val="18"/>
              </w:rPr>
            </w:pPr>
            <w:r>
              <w:rPr>
                <w:rFonts w:ascii="Arial Narrow" w:hAnsi="Arial Narrow" w:cs="Calibri"/>
                <w:b/>
                <w:bCs/>
                <w:color w:val="000000"/>
                <w:sz w:val="18"/>
                <w:szCs w:val="18"/>
              </w:rPr>
              <w:t>INDICATORI</w:t>
            </w:r>
            <w:r>
              <w:rPr>
                <w:rFonts w:ascii="Calibri" w:hAnsi="Calibri" w:cs="Calibri"/>
                <w:color w:val="000000"/>
                <w:sz w:val="22"/>
                <w:szCs w:val="22"/>
              </w:rPr>
              <w:t> </w:t>
            </w:r>
          </w:p>
        </w:tc>
        <w:tc>
          <w:tcPr>
            <w:tcW w:w="2226" w:type="dxa"/>
            <w:gridSpan w:val="2"/>
            <w:shd w:val="clear" w:color="000000" w:fill="D9D9D9"/>
            <w:vAlign w:val="center"/>
            <w:hideMark/>
          </w:tcPr>
          <w:p w:rsidR="00D5536E" w:rsidRPr="006E2636" w:rsidRDefault="00D5536E" w:rsidP="00F26E81">
            <w:pPr>
              <w:spacing w:before="20" w:after="40"/>
              <w:jc w:val="center"/>
              <w:rPr>
                <w:rFonts w:ascii="Arial Narrow" w:hAnsi="Arial Narrow" w:cs="Calibri"/>
                <w:b/>
                <w:bCs/>
                <w:color w:val="000000"/>
                <w:sz w:val="18"/>
                <w:szCs w:val="18"/>
              </w:rPr>
            </w:pPr>
            <w:r w:rsidRPr="006E2636">
              <w:rPr>
                <w:rFonts w:ascii="Arial Narrow" w:hAnsi="Arial Narrow" w:cs="Calibri"/>
                <w:b/>
                <w:bCs/>
                <w:color w:val="000000"/>
                <w:sz w:val="18"/>
                <w:szCs w:val="18"/>
              </w:rPr>
              <w:t>2019</w:t>
            </w:r>
          </w:p>
        </w:tc>
        <w:tc>
          <w:tcPr>
            <w:tcW w:w="2280" w:type="dxa"/>
            <w:gridSpan w:val="2"/>
            <w:shd w:val="clear" w:color="auto" w:fill="auto"/>
            <w:noWrap/>
            <w:vAlign w:val="center"/>
            <w:hideMark/>
          </w:tcPr>
          <w:p w:rsidR="00D5536E" w:rsidRPr="006E2636" w:rsidRDefault="00D5536E" w:rsidP="00F26E81">
            <w:pPr>
              <w:spacing w:before="20" w:after="40"/>
              <w:jc w:val="center"/>
              <w:rPr>
                <w:rFonts w:ascii="Arial Narrow" w:hAnsi="Arial Narrow" w:cs="Calibri"/>
                <w:b/>
                <w:bCs/>
                <w:color w:val="000000"/>
                <w:sz w:val="18"/>
                <w:szCs w:val="18"/>
              </w:rPr>
            </w:pPr>
            <w:r w:rsidRPr="006E2636">
              <w:rPr>
                <w:rFonts w:ascii="Arial Narrow" w:hAnsi="Arial Narrow" w:cs="Calibri"/>
                <w:b/>
                <w:bCs/>
                <w:color w:val="000000"/>
                <w:sz w:val="18"/>
                <w:szCs w:val="18"/>
              </w:rPr>
              <w:t>2018</w:t>
            </w:r>
          </w:p>
        </w:tc>
        <w:tc>
          <w:tcPr>
            <w:tcW w:w="2226" w:type="dxa"/>
            <w:gridSpan w:val="2"/>
            <w:shd w:val="clear" w:color="000000" w:fill="D9D9D9"/>
            <w:vAlign w:val="center"/>
            <w:hideMark/>
          </w:tcPr>
          <w:p w:rsidR="00D5536E" w:rsidRPr="006E2636" w:rsidRDefault="00D5536E" w:rsidP="00F26E81">
            <w:pPr>
              <w:spacing w:before="20" w:after="40"/>
              <w:jc w:val="center"/>
              <w:rPr>
                <w:rFonts w:ascii="Arial Narrow" w:hAnsi="Arial Narrow" w:cs="Calibri"/>
                <w:b/>
                <w:bCs/>
                <w:color w:val="000000"/>
                <w:sz w:val="18"/>
                <w:szCs w:val="18"/>
              </w:rPr>
            </w:pPr>
            <w:r w:rsidRPr="006E2636">
              <w:rPr>
                <w:rFonts w:ascii="Arial Narrow" w:hAnsi="Arial Narrow" w:cs="Calibri"/>
                <w:b/>
                <w:bCs/>
                <w:color w:val="000000"/>
                <w:sz w:val="18"/>
                <w:szCs w:val="18"/>
              </w:rPr>
              <w:t>2011</w:t>
            </w:r>
          </w:p>
        </w:tc>
      </w:tr>
      <w:tr w:rsidR="00D5536E" w:rsidTr="00623229">
        <w:trPr>
          <w:trHeight w:val="255"/>
        </w:trPr>
        <w:tc>
          <w:tcPr>
            <w:tcW w:w="2748" w:type="dxa"/>
            <w:vMerge/>
            <w:shd w:val="clear" w:color="auto" w:fill="auto"/>
            <w:noWrap/>
            <w:vAlign w:val="center"/>
            <w:hideMark/>
          </w:tcPr>
          <w:p w:rsidR="00D5536E" w:rsidRDefault="00D5536E" w:rsidP="00F26E81">
            <w:pPr>
              <w:spacing w:before="20" w:after="40"/>
              <w:rPr>
                <w:rFonts w:ascii="Calibri" w:hAnsi="Calibri" w:cs="Calibri"/>
                <w:color w:val="000000"/>
                <w:sz w:val="22"/>
                <w:szCs w:val="22"/>
              </w:rPr>
            </w:pPr>
          </w:p>
        </w:tc>
        <w:tc>
          <w:tcPr>
            <w:tcW w:w="1119" w:type="dxa"/>
            <w:shd w:val="clear" w:color="auto" w:fill="auto"/>
            <w:vAlign w:val="center"/>
            <w:hideMark/>
          </w:tcPr>
          <w:p w:rsidR="00D5536E" w:rsidRDefault="00D5536E" w:rsidP="00F26E81">
            <w:pPr>
              <w:spacing w:before="20" w:after="40"/>
              <w:jc w:val="right"/>
              <w:rPr>
                <w:rFonts w:ascii="Arial Narrow" w:hAnsi="Arial Narrow" w:cs="Calibri"/>
                <w:color w:val="000000"/>
                <w:sz w:val="18"/>
                <w:szCs w:val="18"/>
              </w:rPr>
            </w:pPr>
            <w:r>
              <w:rPr>
                <w:rFonts w:ascii="Arial Narrow" w:hAnsi="Arial Narrow" w:cs="Calibri"/>
                <w:color w:val="000000"/>
                <w:sz w:val="18"/>
                <w:szCs w:val="18"/>
              </w:rPr>
              <w:t>Basilicata</w:t>
            </w:r>
          </w:p>
        </w:tc>
        <w:tc>
          <w:tcPr>
            <w:tcW w:w="1107" w:type="dxa"/>
            <w:shd w:val="clear" w:color="auto" w:fill="auto"/>
            <w:vAlign w:val="center"/>
            <w:hideMark/>
          </w:tcPr>
          <w:p w:rsidR="00D5536E" w:rsidRDefault="00D5536E" w:rsidP="00F26E81">
            <w:pPr>
              <w:spacing w:before="20" w:after="40"/>
              <w:jc w:val="right"/>
              <w:rPr>
                <w:rFonts w:ascii="Arial Narrow" w:hAnsi="Arial Narrow" w:cs="Calibri"/>
                <w:color w:val="000000"/>
                <w:sz w:val="18"/>
                <w:szCs w:val="18"/>
              </w:rPr>
            </w:pPr>
            <w:r>
              <w:rPr>
                <w:rFonts w:ascii="Arial Narrow" w:hAnsi="Arial Narrow" w:cs="Calibri"/>
                <w:color w:val="000000"/>
                <w:sz w:val="18"/>
                <w:szCs w:val="18"/>
              </w:rPr>
              <w:t>Italia</w:t>
            </w:r>
          </w:p>
        </w:tc>
        <w:tc>
          <w:tcPr>
            <w:tcW w:w="1140" w:type="dxa"/>
            <w:shd w:val="clear" w:color="auto" w:fill="auto"/>
            <w:vAlign w:val="center"/>
            <w:hideMark/>
          </w:tcPr>
          <w:p w:rsidR="00D5536E" w:rsidRDefault="00D5536E" w:rsidP="00F26E81">
            <w:pPr>
              <w:spacing w:before="20" w:after="40"/>
              <w:jc w:val="right"/>
              <w:rPr>
                <w:rFonts w:ascii="Arial Narrow" w:hAnsi="Arial Narrow" w:cs="Calibri"/>
                <w:color w:val="000000"/>
                <w:sz w:val="18"/>
                <w:szCs w:val="18"/>
              </w:rPr>
            </w:pPr>
            <w:r>
              <w:rPr>
                <w:rFonts w:ascii="Arial Narrow" w:hAnsi="Arial Narrow" w:cs="Calibri"/>
                <w:color w:val="000000"/>
                <w:sz w:val="18"/>
                <w:szCs w:val="18"/>
              </w:rPr>
              <w:t>Basilicata</w:t>
            </w:r>
          </w:p>
        </w:tc>
        <w:tc>
          <w:tcPr>
            <w:tcW w:w="1140" w:type="dxa"/>
            <w:shd w:val="clear" w:color="auto" w:fill="auto"/>
            <w:vAlign w:val="center"/>
            <w:hideMark/>
          </w:tcPr>
          <w:p w:rsidR="00D5536E" w:rsidRDefault="00D5536E" w:rsidP="00F26E81">
            <w:pPr>
              <w:spacing w:before="20" w:after="40"/>
              <w:jc w:val="right"/>
              <w:rPr>
                <w:rFonts w:ascii="Arial Narrow" w:hAnsi="Arial Narrow" w:cs="Calibri"/>
                <w:color w:val="000000"/>
                <w:sz w:val="18"/>
                <w:szCs w:val="18"/>
              </w:rPr>
            </w:pPr>
            <w:r>
              <w:rPr>
                <w:rFonts w:ascii="Arial Narrow" w:hAnsi="Arial Narrow" w:cs="Calibri"/>
                <w:color w:val="000000"/>
                <w:sz w:val="18"/>
                <w:szCs w:val="18"/>
              </w:rPr>
              <w:t>Italia</w:t>
            </w:r>
          </w:p>
        </w:tc>
        <w:tc>
          <w:tcPr>
            <w:tcW w:w="1119" w:type="dxa"/>
            <w:shd w:val="clear" w:color="auto" w:fill="auto"/>
            <w:vAlign w:val="center"/>
            <w:hideMark/>
          </w:tcPr>
          <w:p w:rsidR="00D5536E" w:rsidRDefault="00D5536E" w:rsidP="00F26E81">
            <w:pPr>
              <w:spacing w:before="20" w:after="40"/>
              <w:jc w:val="right"/>
              <w:rPr>
                <w:rFonts w:ascii="Arial Narrow" w:hAnsi="Arial Narrow" w:cs="Calibri"/>
                <w:color w:val="000000"/>
                <w:sz w:val="18"/>
                <w:szCs w:val="18"/>
              </w:rPr>
            </w:pPr>
            <w:r>
              <w:rPr>
                <w:rFonts w:ascii="Arial Narrow" w:hAnsi="Arial Narrow" w:cs="Calibri"/>
                <w:color w:val="000000"/>
                <w:sz w:val="18"/>
                <w:szCs w:val="18"/>
              </w:rPr>
              <w:t>Basilicata</w:t>
            </w:r>
          </w:p>
        </w:tc>
        <w:tc>
          <w:tcPr>
            <w:tcW w:w="1107" w:type="dxa"/>
            <w:shd w:val="clear" w:color="000000" w:fill="FFFFFF"/>
            <w:vAlign w:val="center"/>
            <w:hideMark/>
          </w:tcPr>
          <w:p w:rsidR="00D5536E" w:rsidRDefault="00D5536E" w:rsidP="00F26E81">
            <w:pPr>
              <w:spacing w:before="20" w:after="40"/>
              <w:jc w:val="right"/>
              <w:rPr>
                <w:rFonts w:ascii="Arial Narrow" w:hAnsi="Arial Narrow" w:cs="Calibri"/>
                <w:color w:val="000000"/>
                <w:sz w:val="18"/>
                <w:szCs w:val="18"/>
              </w:rPr>
            </w:pPr>
            <w:r>
              <w:rPr>
                <w:rFonts w:ascii="Arial Narrow" w:hAnsi="Arial Narrow" w:cs="Calibri"/>
                <w:color w:val="000000"/>
                <w:sz w:val="18"/>
                <w:szCs w:val="18"/>
              </w:rPr>
              <w:t>Italia</w:t>
            </w:r>
          </w:p>
        </w:tc>
      </w:tr>
      <w:tr w:rsidR="008301C7" w:rsidTr="00623229">
        <w:trPr>
          <w:trHeight w:val="255"/>
        </w:trPr>
        <w:tc>
          <w:tcPr>
            <w:tcW w:w="2748" w:type="dxa"/>
            <w:shd w:val="clear" w:color="auto" w:fill="auto"/>
            <w:noWrap/>
            <w:vAlign w:val="center"/>
            <w:hideMark/>
          </w:tcPr>
          <w:p w:rsidR="008301C7" w:rsidRDefault="008301C7" w:rsidP="00F26E81">
            <w:pPr>
              <w:spacing w:before="20" w:after="40"/>
              <w:rPr>
                <w:rFonts w:ascii="Arial Narrow" w:hAnsi="Arial Narrow" w:cs="Calibri"/>
                <w:color w:val="000000"/>
                <w:sz w:val="18"/>
                <w:szCs w:val="18"/>
              </w:rPr>
            </w:pPr>
            <w:r>
              <w:rPr>
                <w:rFonts w:ascii="Arial Narrow" w:hAnsi="Arial Narrow" w:cs="Calibri"/>
                <w:color w:val="000000"/>
                <w:sz w:val="18"/>
                <w:szCs w:val="18"/>
              </w:rPr>
              <w:t>Rapporto di mascolinità</w:t>
            </w:r>
          </w:p>
        </w:tc>
        <w:tc>
          <w:tcPr>
            <w:tcW w:w="1119" w:type="dxa"/>
            <w:shd w:val="clear" w:color="000000" w:fill="D9D9D9"/>
            <w:noWrap/>
            <w:vAlign w:val="center"/>
            <w:hideMark/>
          </w:tcPr>
          <w:p w:rsidR="008301C7" w:rsidRDefault="008301C7" w:rsidP="00F26E81">
            <w:pPr>
              <w:spacing w:before="20" w:after="40"/>
              <w:jc w:val="right"/>
              <w:rPr>
                <w:rFonts w:ascii="Arial Narrow" w:hAnsi="Arial Narrow" w:cs="Calibri"/>
                <w:color w:val="000000"/>
                <w:sz w:val="18"/>
                <w:szCs w:val="18"/>
              </w:rPr>
            </w:pPr>
            <w:r>
              <w:rPr>
                <w:rFonts w:ascii="Arial Narrow" w:hAnsi="Arial Narrow" w:cs="Calibri"/>
                <w:color w:val="000000"/>
                <w:sz w:val="18"/>
                <w:szCs w:val="18"/>
              </w:rPr>
              <w:t>96,8</w:t>
            </w:r>
          </w:p>
        </w:tc>
        <w:tc>
          <w:tcPr>
            <w:tcW w:w="1107" w:type="dxa"/>
            <w:shd w:val="clear" w:color="auto" w:fill="auto"/>
            <w:noWrap/>
            <w:vAlign w:val="center"/>
            <w:hideMark/>
          </w:tcPr>
          <w:p w:rsidR="008301C7" w:rsidRDefault="008301C7" w:rsidP="00F26E81">
            <w:pPr>
              <w:spacing w:before="20" w:after="40"/>
              <w:jc w:val="right"/>
              <w:rPr>
                <w:rFonts w:ascii="Arial Narrow" w:hAnsi="Arial Narrow" w:cs="Calibri"/>
                <w:color w:val="000000"/>
                <w:sz w:val="18"/>
                <w:szCs w:val="18"/>
              </w:rPr>
            </w:pPr>
            <w:r>
              <w:rPr>
                <w:rFonts w:ascii="Arial Narrow" w:hAnsi="Arial Narrow" w:cs="Calibri"/>
                <w:color w:val="000000"/>
                <w:sz w:val="18"/>
                <w:szCs w:val="18"/>
              </w:rPr>
              <w:t>95,0</w:t>
            </w:r>
          </w:p>
        </w:tc>
        <w:tc>
          <w:tcPr>
            <w:tcW w:w="1140" w:type="dxa"/>
            <w:shd w:val="clear" w:color="000000" w:fill="D9D9D9"/>
            <w:noWrap/>
            <w:vAlign w:val="center"/>
            <w:hideMark/>
          </w:tcPr>
          <w:p w:rsidR="008301C7" w:rsidRDefault="008301C7" w:rsidP="00F26E81">
            <w:pPr>
              <w:spacing w:before="20" w:after="40"/>
              <w:jc w:val="right"/>
              <w:rPr>
                <w:rFonts w:ascii="Arial Narrow" w:hAnsi="Arial Narrow" w:cs="Calibri"/>
                <w:color w:val="000000"/>
                <w:sz w:val="18"/>
                <w:szCs w:val="18"/>
              </w:rPr>
            </w:pPr>
            <w:r>
              <w:rPr>
                <w:rFonts w:ascii="Arial Narrow" w:hAnsi="Arial Narrow" w:cs="Calibri"/>
                <w:color w:val="000000"/>
                <w:sz w:val="18"/>
                <w:szCs w:val="18"/>
              </w:rPr>
              <w:t>96,8</w:t>
            </w:r>
          </w:p>
        </w:tc>
        <w:tc>
          <w:tcPr>
            <w:tcW w:w="1140" w:type="dxa"/>
            <w:shd w:val="clear" w:color="auto" w:fill="auto"/>
            <w:noWrap/>
            <w:vAlign w:val="center"/>
            <w:hideMark/>
          </w:tcPr>
          <w:p w:rsidR="008301C7" w:rsidRDefault="008301C7" w:rsidP="00F26E81">
            <w:pPr>
              <w:spacing w:before="20" w:after="40"/>
              <w:jc w:val="right"/>
              <w:rPr>
                <w:rFonts w:ascii="Arial Narrow" w:hAnsi="Arial Narrow" w:cs="Calibri"/>
                <w:color w:val="000000"/>
                <w:sz w:val="18"/>
                <w:szCs w:val="18"/>
              </w:rPr>
            </w:pPr>
            <w:r>
              <w:rPr>
                <w:rFonts w:ascii="Arial Narrow" w:hAnsi="Arial Narrow" w:cs="Calibri"/>
                <w:color w:val="000000"/>
                <w:sz w:val="18"/>
                <w:szCs w:val="18"/>
              </w:rPr>
              <w:t>94,9</w:t>
            </w:r>
          </w:p>
        </w:tc>
        <w:tc>
          <w:tcPr>
            <w:tcW w:w="1119" w:type="dxa"/>
            <w:shd w:val="clear" w:color="000000" w:fill="D9D9D9"/>
            <w:noWrap/>
            <w:vAlign w:val="center"/>
            <w:hideMark/>
          </w:tcPr>
          <w:p w:rsidR="008301C7" w:rsidRDefault="008301C7" w:rsidP="00F26E81">
            <w:pPr>
              <w:spacing w:before="20" w:after="40"/>
              <w:jc w:val="right"/>
              <w:rPr>
                <w:rFonts w:ascii="Arial Narrow" w:hAnsi="Arial Narrow" w:cs="Calibri"/>
                <w:color w:val="000000"/>
                <w:sz w:val="18"/>
                <w:szCs w:val="18"/>
              </w:rPr>
            </w:pPr>
            <w:r>
              <w:rPr>
                <w:rFonts w:ascii="Arial Narrow" w:hAnsi="Arial Narrow" w:cs="Calibri"/>
                <w:color w:val="000000"/>
                <w:sz w:val="18"/>
                <w:szCs w:val="18"/>
              </w:rPr>
              <w:t>95,8</w:t>
            </w:r>
          </w:p>
        </w:tc>
        <w:tc>
          <w:tcPr>
            <w:tcW w:w="1107" w:type="dxa"/>
            <w:shd w:val="clear" w:color="000000" w:fill="FFFFFF"/>
            <w:noWrap/>
            <w:vAlign w:val="center"/>
            <w:hideMark/>
          </w:tcPr>
          <w:p w:rsidR="008301C7" w:rsidRDefault="008301C7" w:rsidP="00F26E81">
            <w:pPr>
              <w:spacing w:before="20" w:after="40"/>
              <w:jc w:val="right"/>
              <w:rPr>
                <w:rFonts w:ascii="Arial Narrow" w:hAnsi="Arial Narrow" w:cs="Calibri"/>
                <w:color w:val="000000"/>
                <w:sz w:val="18"/>
                <w:szCs w:val="18"/>
              </w:rPr>
            </w:pPr>
            <w:r>
              <w:rPr>
                <w:rFonts w:ascii="Arial Narrow" w:hAnsi="Arial Narrow" w:cs="Calibri"/>
                <w:color w:val="000000"/>
                <w:sz w:val="18"/>
                <w:szCs w:val="18"/>
              </w:rPr>
              <w:t>93,7</w:t>
            </w:r>
          </w:p>
        </w:tc>
      </w:tr>
      <w:tr w:rsidR="008301C7" w:rsidTr="00623229">
        <w:trPr>
          <w:trHeight w:val="255"/>
        </w:trPr>
        <w:tc>
          <w:tcPr>
            <w:tcW w:w="2748" w:type="dxa"/>
            <w:shd w:val="clear" w:color="auto" w:fill="auto"/>
            <w:noWrap/>
            <w:vAlign w:val="center"/>
            <w:hideMark/>
          </w:tcPr>
          <w:p w:rsidR="008301C7" w:rsidRDefault="008301C7" w:rsidP="00F26E81">
            <w:pPr>
              <w:spacing w:before="20" w:after="40"/>
              <w:rPr>
                <w:rFonts w:ascii="Arial Narrow" w:hAnsi="Arial Narrow" w:cs="Calibri"/>
                <w:color w:val="000000"/>
                <w:sz w:val="18"/>
                <w:szCs w:val="18"/>
              </w:rPr>
            </w:pPr>
            <w:r>
              <w:rPr>
                <w:rFonts w:ascii="Arial Narrow" w:hAnsi="Arial Narrow" w:cs="Calibri"/>
                <w:color w:val="000000"/>
                <w:sz w:val="18"/>
                <w:szCs w:val="18"/>
              </w:rPr>
              <w:t>Età media</w:t>
            </w:r>
          </w:p>
        </w:tc>
        <w:tc>
          <w:tcPr>
            <w:tcW w:w="1119" w:type="dxa"/>
            <w:shd w:val="clear" w:color="000000" w:fill="D9D9D9"/>
            <w:noWrap/>
            <w:vAlign w:val="center"/>
            <w:hideMark/>
          </w:tcPr>
          <w:p w:rsidR="008301C7" w:rsidRDefault="008301C7" w:rsidP="00F26E81">
            <w:pPr>
              <w:spacing w:before="20" w:after="40"/>
              <w:jc w:val="right"/>
              <w:rPr>
                <w:rFonts w:ascii="Arial Narrow" w:hAnsi="Arial Narrow" w:cs="Calibri"/>
                <w:color w:val="000000"/>
                <w:sz w:val="18"/>
                <w:szCs w:val="18"/>
              </w:rPr>
            </w:pPr>
            <w:r>
              <w:rPr>
                <w:rFonts w:ascii="Arial Narrow" w:hAnsi="Arial Narrow" w:cs="Calibri"/>
                <w:color w:val="000000"/>
                <w:sz w:val="18"/>
                <w:szCs w:val="18"/>
              </w:rPr>
              <w:t>45,7</w:t>
            </w:r>
          </w:p>
        </w:tc>
        <w:tc>
          <w:tcPr>
            <w:tcW w:w="1107" w:type="dxa"/>
            <w:shd w:val="clear" w:color="auto" w:fill="auto"/>
            <w:noWrap/>
            <w:vAlign w:val="center"/>
            <w:hideMark/>
          </w:tcPr>
          <w:p w:rsidR="008301C7" w:rsidRDefault="008301C7" w:rsidP="00F26E81">
            <w:pPr>
              <w:spacing w:before="20" w:after="40"/>
              <w:jc w:val="right"/>
              <w:rPr>
                <w:rFonts w:ascii="Arial Narrow" w:hAnsi="Arial Narrow" w:cs="Calibri"/>
                <w:color w:val="000000"/>
                <w:sz w:val="18"/>
                <w:szCs w:val="18"/>
              </w:rPr>
            </w:pPr>
            <w:r>
              <w:rPr>
                <w:rFonts w:ascii="Arial Narrow" w:hAnsi="Arial Narrow" w:cs="Calibri"/>
                <w:color w:val="000000"/>
                <w:sz w:val="18"/>
                <w:szCs w:val="18"/>
              </w:rPr>
              <w:t>45,2</w:t>
            </w:r>
          </w:p>
        </w:tc>
        <w:tc>
          <w:tcPr>
            <w:tcW w:w="1140" w:type="dxa"/>
            <w:shd w:val="clear" w:color="000000" w:fill="D9D9D9"/>
            <w:noWrap/>
            <w:vAlign w:val="center"/>
            <w:hideMark/>
          </w:tcPr>
          <w:p w:rsidR="008301C7" w:rsidRDefault="008301C7" w:rsidP="00F26E81">
            <w:pPr>
              <w:spacing w:before="20" w:after="40"/>
              <w:jc w:val="right"/>
              <w:rPr>
                <w:rFonts w:ascii="Arial Narrow" w:hAnsi="Arial Narrow" w:cs="Calibri"/>
                <w:color w:val="000000"/>
                <w:sz w:val="18"/>
                <w:szCs w:val="18"/>
              </w:rPr>
            </w:pPr>
            <w:r>
              <w:rPr>
                <w:rFonts w:ascii="Arial Narrow" w:hAnsi="Arial Narrow" w:cs="Calibri"/>
                <w:color w:val="000000"/>
                <w:sz w:val="18"/>
                <w:szCs w:val="18"/>
              </w:rPr>
              <w:t>45,3</w:t>
            </w:r>
          </w:p>
        </w:tc>
        <w:tc>
          <w:tcPr>
            <w:tcW w:w="1140" w:type="dxa"/>
            <w:shd w:val="clear" w:color="auto" w:fill="auto"/>
            <w:noWrap/>
            <w:vAlign w:val="center"/>
            <w:hideMark/>
          </w:tcPr>
          <w:p w:rsidR="008301C7" w:rsidRDefault="008301C7" w:rsidP="00F26E81">
            <w:pPr>
              <w:spacing w:before="20" w:after="40"/>
              <w:jc w:val="right"/>
              <w:rPr>
                <w:rFonts w:ascii="Arial Narrow" w:hAnsi="Arial Narrow" w:cs="Calibri"/>
                <w:color w:val="000000"/>
                <w:sz w:val="18"/>
                <w:szCs w:val="18"/>
              </w:rPr>
            </w:pPr>
            <w:r>
              <w:rPr>
                <w:rFonts w:ascii="Arial Narrow" w:hAnsi="Arial Narrow" w:cs="Calibri"/>
                <w:color w:val="000000"/>
                <w:sz w:val="18"/>
                <w:szCs w:val="18"/>
              </w:rPr>
              <w:t>45,0</w:t>
            </w:r>
          </w:p>
        </w:tc>
        <w:tc>
          <w:tcPr>
            <w:tcW w:w="1119" w:type="dxa"/>
            <w:shd w:val="clear" w:color="000000" w:fill="D9D9D9"/>
            <w:noWrap/>
            <w:vAlign w:val="center"/>
            <w:hideMark/>
          </w:tcPr>
          <w:p w:rsidR="008301C7" w:rsidRDefault="008301C7" w:rsidP="00F26E81">
            <w:pPr>
              <w:spacing w:before="20" w:after="40"/>
              <w:jc w:val="right"/>
              <w:rPr>
                <w:rFonts w:ascii="Arial Narrow" w:hAnsi="Arial Narrow" w:cs="Calibri"/>
                <w:color w:val="000000"/>
                <w:sz w:val="18"/>
                <w:szCs w:val="18"/>
              </w:rPr>
            </w:pPr>
            <w:r>
              <w:rPr>
                <w:rFonts w:ascii="Arial Narrow" w:hAnsi="Arial Narrow" w:cs="Calibri"/>
                <w:color w:val="000000"/>
                <w:sz w:val="18"/>
                <w:szCs w:val="18"/>
              </w:rPr>
              <w:t>43,2</w:t>
            </w:r>
          </w:p>
        </w:tc>
        <w:tc>
          <w:tcPr>
            <w:tcW w:w="1107" w:type="dxa"/>
            <w:shd w:val="clear" w:color="000000" w:fill="FFFFFF"/>
            <w:noWrap/>
            <w:vAlign w:val="center"/>
            <w:hideMark/>
          </w:tcPr>
          <w:p w:rsidR="008301C7" w:rsidRDefault="008301C7" w:rsidP="00F26E81">
            <w:pPr>
              <w:spacing w:before="20" w:after="40"/>
              <w:jc w:val="right"/>
              <w:rPr>
                <w:rFonts w:ascii="Arial Narrow" w:hAnsi="Arial Narrow" w:cs="Calibri"/>
                <w:color w:val="000000"/>
                <w:sz w:val="18"/>
                <w:szCs w:val="18"/>
              </w:rPr>
            </w:pPr>
            <w:r>
              <w:rPr>
                <w:rFonts w:ascii="Arial Narrow" w:hAnsi="Arial Narrow" w:cs="Calibri"/>
                <w:color w:val="000000"/>
                <w:sz w:val="18"/>
                <w:szCs w:val="18"/>
              </w:rPr>
              <w:t>43,3</w:t>
            </w:r>
          </w:p>
        </w:tc>
      </w:tr>
      <w:tr w:rsidR="008301C7" w:rsidTr="00623229">
        <w:trPr>
          <w:trHeight w:val="255"/>
        </w:trPr>
        <w:tc>
          <w:tcPr>
            <w:tcW w:w="2748" w:type="dxa"/>
            <w:shd w:val="clear" w:color="auto" w:fill="auto"/>
            <w:noWrap/>
            <w:vAlign w:val="center"/>
            <w:hideMark/>
          </w:tcPr>
          <w:p w:rsidR="008301C7" w:rsidRDefault="008301C7" w:rsidP="00F26E81">
            <w:pPr>
              <w:spacing w:before="20" w:after="40"/>
              <w:rPr>
                <w:rFonts w:ascii="Arial Narrow" w:hAnsi="Arial Narrow" w:cs="Calibri"/>
                <w:color w:val="000000"/>
                <w:sz w:val="18"/>
                <w:szCs w:val="18"/>
              </w:rPr>
            </w:pPr>
            <w:r>
              <w:rPr>
                <w:rFonts w:ascii="Arial Narrow" w:hAnsi="Arial Narrow" w:cs="Calibri"/>
                <w:color w:val="000000"/>
                <w:sz w:val="18"/>
                <w:szCs w:val="18"/>
              </w:rPr>
              <w:t>Indice di vecchiaia</w:t>
            </w:r>
          </w:p>
        </w:tc>
        <w:tc>
          <w:tcPr>
            <w:tcW w:w="1119" w:type="dxa"/>
            <w:shd w:val="clear" w:color="000000" w:fill="D9D9D9"/>
            <w:noWrap/>
            <w:vAlign w:val="center"/>
            <w:hideMark/>
          </w:tcPr>
          <w:p w:rsidR="008301C7" w:rsidRDefault="008301C7" w:rsidP="00F26E81">
            <w:pPr>
              <w:spacing w:before="20" w:after="40"/>
              <w:jc w:val="right"/>
              <w:rPr>
                <w:rFonts w:ascii="Arial Narrow" w:hAnsi="Arial Narrow" w:cs="Calibri"/>
                <w:color w:val="000000"/>
                <w:sz w:val="18"/>
                <w:szCs w:val="18"/>
              </w:rPr>
            </w:pPr>
            <w:r>
              <w:rPr>
                <w:rFonts w:ascii="Arial Narrow" w:hAnsi="Arial Narrow" w:cs="Calibri"/>
                <w:color w:val="000000"/>
                <w:sz w:val="18"/>
                <w:szCs w:val="18"/>
              </w:rPr>
              <w:t>200,8</w:t>
            </w:r>
          </w:p>
        </w:tc>
        <w:tc>
          <w:tcPr>
            <w:tcW w:w="1107" w:type="dxa"/>
            <w:shd w:val="clear" w:color="auto" w:fill="auto"/>
            <w:noWrap/>
            <w:vAlign w:val="center"/>
            <w:hideMark/>
          </w:tcPr>
          <w:p w:rsidR="008301C7" w:rsidRDefault="008301C7" w:rsidP="00F26E81">
            <w:pPr>
              <w:spacing w:before="20" w:after="40"/>
              <w:jc w:val="right"/>
              <w:rPr>
                <w:rFonts w:ascii="Arial Narrow" w:hAnsi="Arial Narrow" w:cs="Calibri"/>
                <w:color w:val="000000"/>
                <w:sz w:val="18"/>
                <w:szCs w:val="18"/>
              </w:rPr>
            </w:pPr>
            <w:r>
              <w:rPr>
                <w:rFonts w:ascii="Arial Narrow" w:hAnsi="Arial Narrow" w:cs="Calibri"/>
                <w:color w:val="000000"/>
                <w:sz w:val="18"/>
                <w:szCs w:val="18"/>
              </w:rPr>
              <w:t>179,4</w:t>
            </w:r>
          </w:p>
        </w:tc>
        <w:tc>
          <w:tcPr>
            <w:tcW w:w="1140" w:type="dxa"/>
            <w:shd w:val="clear" w:color="000000" w:fill="D9D9D9"/>
            <w:noWrap/>
            <w:vAlign w:val="center"/>
            <w:hideMark/>
          </w:tcPr>
          <w:p w:rsidR="008301C7" w:rsidRDefault="008301C7" w:rsidP="00F26E81">
            <w:pPr>
              <w:spacing w:before="20" w:after="40"/>
              <w:jc w:val="right"/>
              <w:rPr>
                <w:rFonts w:ascii="Arial Narrow" w:hAnsi="Arial Narrow" w:cs="Calibri"/>
                <w:color w:val="000000"/>
                <w:sz w:val="18"/>
                <w:szCs w:val="18"/>
              </w:rPr>
            </w:pPr>
            <w:r>
              <w:rPr>
                <w:rFonts w:ascii="Arial Narrow" w:hAnsi="Arial Narrow" w:cs="Calibri"/>
                <w:color w:val="000000"/>
                <w:sz w:val="18"/>
                <w:szCs w:val="18"/>
              </w:rPr>
              <w:t>193,6</w:t>
            </w:r>
          </w:p>
        </w:tc>
        <w:tc>
          <w:tcPr>
            <w:tcW w:w="1140" w:type="dxa"/>
            <w:shd w:val="clear" w:color="auto" w:fill="auto"/>
            <w:noWrap/>
            <w:vAlign w:val="center"/>
            <w:hideMark/>
          </w:tcPr>
          <w:p w:rsidR="008301C7" w:rsidRDefault="008301C7" w:rsidP="00F26E81">
            <w:pPr>
              <w:spacing w:before="20" w:after="40"/>
              <w:jc w:val="right"/>
              <w:rPr>
                <w:rFonts w:ascii="Arial Narrow" w:hAnsi="Arial Narrow" w:cs="Calibri"/>
                <w:color w:val="000000"/>
                <w:sz w:val="18"/>
                <w:szCs w:val="18"/>
              </w:rPr>
            </w:pPr>
            <w:r>
              <w:rPr>
                <w:rFonts w:ascii="Arial Narrow" w:hAnsi="Arial Narrow" w:cs="Calibri"/>
                <w:color w:val="000000"/>
                <w:sz w:val="18"/>
                <w:szCs w:val="18"/>
              </w:rPr>
              <w:t>174,0</w:t>
            </w:r>
          </w:p>
        </w:tc>
        <w:tc>
          <w:tcPr>
            <w:tcW w:w="1119" w:type="dxa"/>
            <w:shd w:val="clear" w:color="000000" w:fill="D9D9D9"/>
            <w:noWrap/>
            <w:vAlign w:val="center"/>
            <w:hideMark/>
          </w:tcPr>
          <w:p w:rsidR="008301C7" w:rsidRDefault="008301C7" w:rsidP="00F26E81">
            <w:pPr>
              <w:spacing w:before="20" w:after="40"/>
              <w:jc w:val="right"/>
              <w:rPr>
                <w:rFonts w:ascii="Arial Narrow" w:hAnsi="Arial Narrow" w:cs="Calibri"/>
                <w:color w:val="000000"/>
                <w:sz w:val="18"/>
                <w:szCs w:val="18"/>
              </w:rPr>
            </w:pPr>
            <w:r>
              <w:rPr>
                <w:rFonts w:ascii="Arial Narrow" w:hAnsi="Arial Narrow" w:cs="Calibri"/>
                <w:color w:val="000000"/>
                <w:sz w:val="18"/>
                <w:szCs w:val="18"/>
              </w:rPr>
              <w:t>154,1</w:t>
            </w:r>
          </w:p>
        </w:tc>
        <w:tc>
          <w:tcPr>
            <w:tcW w:w="1107" w:type="dxa"/>
            <w:shd w:val="clear" w:color="000000" w:fill="FFFFFF"/>
            <w:noWrap/>
            <w:vAlign w:val="center"/>
            <w:hideMark/>
          </w:tcPr>
          <w:p w:rsidR="008301C7" w:rsidRDefault="008301C7" w:rsidP="00F26E81">
            <w:pPr>
              <w:spacing w:before="20" w:after="40"/>
              <w:jc w:val="right"/>
              <w:rPr>
                <w:rFonts w:ascii="Arial Narrow" w:hAnsi="Arial Narrow" w:cs="Calibri"/>
                <w:color w:val="000000"/>
                <w:sz w:val="18"/>
                <w:szCs w:val="18"/>
              </w:rPr>
            </w:pPr>
            <w:r>
              <w:rPr>
                <w:rFonts w:ascii="Arial Narrow" w:hAnsi="Arial Narrow" w:cs="Calibri"/>
                <w:color w:val="000000"/>
                <w:sz w:val="18"/>
                <w:szCs w:val="18"/>
              </w:rPr>
              <w:t>148,8</w:t>
            </w:r>
          </w:p>
        </w:tc>
      </w:tr>
      <w:tr w:rsidR="008301C7" w:rsidTr="00623229">
        <w:trPr>
          <w:trHeight w:val="255"/>
        </w:trPr>
        <w:tc>
          <w:tcPr>
            <w:tcW w:w="2748" w:type="dxa"/>
            <w:shd w:val="clear" w:color="auto" w:fill="auto"/>
            <w:noWrap/>
            <w:vAlign w:val="center"/>
            <w:hideMark/>
          </w:tcPr>
          <w:p w:rsidR="008301C7" w:rsidRDefault="008301C7" w:rsidP="00F26E81">
            <w:pPr>
              <w:spacing w:before="20" w:after="40"/>
              <w:rPr>
                <w:rFonts w:ascii="Arial Narrow" w:hAnsi="Arial Narrow" w:cs="Calibri"/>
                <w:color w:val="000000"/>
                <w:sz w:val="18"/>
                <w:szCs w:val="18"/>
              </w:rPr>
            </w:pPr>
            <w:r>
              <w:rPr>
                <w:rFonts w:ascii="Arial Narrow" w:hAnsi="Arial Narrow" w:cs="Calibri"/>
                <w:color w:val="000000"/>
                <w:sz w:val="18"/>
                <w:szCs w:val="18"/>
              </w:rPr>
              <w:t>Indice di dipendenza</w:t>
            </w:r>
          </w:p>
        </w:tc>
        <w:tc>
          <w:tcPr>
            <w:tcW w:w="1119" w:type="dxa"/>
            <w:shd w:val="clear" w:color="000000" w:fill="D9D9D9"/>
            <w:noWrap/>
            <w:vAlign w:val="center"/>
            <w:hideMark/>
          </w:tcPr>
          <w:p w:rsidR="008301C7" w:rsidRDefault="008301C7" w:rsidP="00F26E81">
            <w:pPr>
              <w:spacing w:before="20" w:after="40"/>
              <w:jc w:val="right"/>
              <w:rPr>
                <w:rFonts w:ascii="Arial Narrow" w:hAnsi="Arial Narrow" w:cs="Calibri"/>
                <w:color w:val="000000"/>
                <w:sz w:val="18"/>
                <w:szCs w:val="18"/>
              </w:rPr>
            </w:pPr>
            <w:r>
              <w:rPr>
                <w:rFonts w:ascii="Arial Narrow" w:hAnsi="Arial Narrow" w:cs="Calibri"/>
                <w:color w:val="000000"/>
                <w:sz w:val="18"/>
                <w:szCs w:val="18"/>
              </w:rPr>
              <w:t>54,3</w:t>
            </w:r>
          </w:p>
        </w:tc>
        <w:tc>
          <w:tcPr>
            <w:tcW w:w="1107" w:type="dxa"/>
            <w:shd w:val="clear" w:color="auto" w:fill="auto"/>
            <w:noWrap/>
            <w:vAlign w:val="center"/>
            <w:hideMark/>
          </w:tcPr>
          <w:p w:rsidR="008301C7" w:rsidRDefault="008301C7" w:rsidP="00F26E81">
            <w:pPr>
              <w:spacing w:before="20" w:after="40"/>
              <w:jc w:val="right"/>
              <w:rPr>
                <w:rFonts w:ascii="Arial Narrow" w:hAnsi="Arial Narrow" w:cs="Calibri"/>
                <w:color w:val="000000"/>
                <w:sz w:val="18"/>
                <w:szCs w:val="18"/>
              </w:rPr>
            </w:pPr>
            <w:r>
              <w:rPr>
                <w:rFonts w:ascii="Arial Narrow" w:hAnsi="Arial Narrow" w:cs="Calibri"/>
                <w:color w:val="000000"/>
                <w:sz w:val="18"/>
                <w:szCs w:val="18"/>
              </w:rPr>
              <w:t>56,7</w:t>
            </w:r>
          </w:p>
        </w:tc>
        <w:tc>
          <w:tcPr>
            <w:tcW w:w="1140" w:type="dxa"/>
            <w:shd w:val="clear" w:color="000000" w:fill="D9D9D9"/>
            <w:noWrap/>
            <w:vAlign w:val="center"/>
            <w:hideMark/>
          </w:tcPr>
          <w:p w:rsidR="008301C7" w:rsidRDefault="008301C7" w:rsidP="00F26E81">
            <w:pPr>
              <w:spacing w:before="20" w:after="40"/>
              <w:jc w:val="right"/>
              <w:rPr>
                <w:rFonts w:ascii="Arial Narrow" w:hAnsi="Arial Narrow" w:cs="Calibri"/>
                <w:color w:val="000000"/>
                <w:sz w:val="18"/>
                <w:szCs w:val="18"/>
              </w:rPr>
            </w:pPr>
            <w:r>
              <w:rPr>
                <w:rFonts w:ascii="Arial Narrow" w:hAnsi="Arial Narrow" w:cs="Calibri"/>
                <w:color w:val="000000"/>
                <w:sz w:val="18"/>
                <w:szCs w:val="18"/>
              </w:rPr>
              <w:t>53,6</w:t>
            </w:r>
          </w:p>
        </w:tc>
        <w:tc>
          <w:tcPr>
            <w:tcW w:w="1140" w:type="dxa"/>
            <w:shd w:val="clear" w:color="auto" w:fill="auto"/>
            <w:noWrap/>
            <w:vAlign w:val="center"/>
            <w:hideMark/>
          </w:tcPr>
          <w:p w:rsidR="008301C7" w:rsidRDefault="008301C7" w:rsidP="00F26E81">
            <w:pPr>
              <w:spacing w:before="20" w:after="40"/>
              <w:jc w:val="right"/>
              <w:rPr>
                <w:rFonts w:ascii="Arial Narrow" w:hAnsi="Arial Narrow" w:cs="Calibri"/>
                <w:color w:val="000000"/>
                <w:sz w:val="18"/>
                <w:szCs w:val="18"/>
              </w:rPr>
            </w:pPr>
            <w:r>
              <w:rPr>
                <w:rFonts w:ascii="Arial Narrow" w:hAnsi="Arial Narrow" w:cs="Calibri"/>
                <w:color w:val="000000"/>
                <w:sz w:val="18"/>
                <w:szCs w:val="18"/>
              </w:rPr>
              <w:t>56,4</w:t>
            </w:r>
          </w:p>
        </w:tc>
        <w:tc>
          <w:tcPr>
            <w:tcW w:w="1119" w:type="dxa"/>
            <w:shd w:val="clear" w:color="000000" w:fill="D9D9D9"/>
            <w:noWrap/>
            <w:vAlign w:val="center"/>
            <w:hideMark/>
          </w:tcPr>
          <w:p w:rsidR="008301C7" w:rsidRDefault="008301C7" w:rsidP="00F26E81">
            <w:pPr>
              <w:spacing w:before="20" w:after="40"/>
              <w:jc w:val="right"/>
              <w:rPr>
                <w:rFonts w:ascii="Arial Narrow" w:hAnsi="Arial Narrow" w:cs="Calibri"/>
                <w:color w:val="000000"/>
                <w:sz w:val="18"/>
                <w:szCs w:val="18"/>
              </w:rPr>
            </w:pPr>
            <w:r>
              <w:rPr>
                <w:rFonts w:ascii="Arial Narrow" w:hAnsi="Arial Narrow" w:cs="Calibri"/>
                <w:color w:val="000000"/>
                <w:sz w:val="18"/>
                <w:szCs w:val="18"/>
              </w:rPr>
              <w:t>51,0</w:t>
            </w:r>
          </w:p>
        </w:tc>
        <w:tc>
          <w:tcPr>
            <w:tcW w:w="1107" w:type="dxa"/>
            <w:shd w:val="clear" w:color="000000" w:fill="FFFFFF"/>
            <w:noWrap/>
            <w:vAlign w:val="center"/>
            <w:hideMark/>
          </w:tcPr>
          <w:p w:rsidR="008301C7" w:rsidRDefault="008301C7" w:rsidP="00F26E81">
            <w:pPr>
              <w:spacing w:before="20" w:after="40"/>
              <w:jc w:val="right"/>
              <w:rPr>
                <w:rFonts w:ascii="Arial Narrow" w:hAnsi="Arial Narrow" w:cs="Calibri"/>
                <w:color w:val="000000"/>
                <w:sz w:val="18"/>
                <w:szCs w:val="18"/>
              </w:rPr>
            </w:pPr>
            <w:r>
              <w:rPr>
                <w:rFonts w:ascii="Arial Narrow" w:hAnsi="Arial Narrow" w:cs="Calibri"/>
                <w:color w:val="000000"/>
                <w:sz w:val="18"/>
                <w:szCs w:val="18"/>
              </w:rPr>
              <w:t>53,5</w:t>
            </w:r>
          </w:p>
        </w:tc>
      </w:tr>
      <w:tr w:rsidR="008301C7" w:rsidTr="00623229">
        <w:trPr>
          <w:trHeight w:val="255"/>
        </w:trPr>
        <w:tc>
          <w:tcPr>
            <w:tcW w:w="2748" w:type="dxa"/>
            <w:shd w:val="clear" w:color="auto" w:fill="auto"/>
            <w:noWrap/>
            <w:vAlign w:val="center"/>
            <w:hideMark/>
          </w:tcPr>
          <w:p w:rsidR="008301C7" w:rsidRDefault="008301C7" w:rsidP="00F26E81">
            <w:pPr>
              <w:spacing w:before="20" w:after="40"/>
              <w:rPr>
                <w:rFonts w:ascii="Arial Narrow" w:hAnsi="Arial Narrow" w:cs="Calibri"/>
                <w:color w:val="000000"/>
                <w:sz w:val="18"/>
                <w:szCs w:val="18"/>
              </w:rPr>
            </w:pPr>
            <w:r>
              <w:rPr>
                <w:rFonts w:ascii="Arial Narrow" w:hAnsi="Arial Narrow" w:cs="Calibri"/>
                <w:color w:val="000000"/>
                <w:sz w:val="18"/>
                <w:szCs w:val="18"/>
              </w:rPr>
              <w:t>Indice di dipendenza anziani</w:t>
            </w:r>
          </w:p>
        </w:tc>
        <w:tc>
          <w:tcPr>
            <w:tcW w:w="1119" w:type="dxa"/>
            <w:shd w:val="clear" w:color="000000" w:fill="D9D9D9"/>
            <w:noWrap/>
            <w:vAlign w:val="center"/>
            <w:hideMark/>
          </w:tcPr>
          <w:p w:rsidR="008301C7" w:rsidRDefault="008301C7" w:rsidP="00F26E81">
            <w:pPr>
              <w:spacing w:before="20" w:after="40"/>
              <w:jc w:val="right"/>
              <w:rPr>
                <w:rFonts w:ascii="Arial Narrow" w:hAnsi="Arial Narrow" w:cs="Calibri"/>
                <w:color w:val="000000"/>
                <w:sz w:val="18"/>
                <w:szCs w:val="18"/>
              </w:rPr>
            </w:pPr>
            <w:r>
              <w:rPr>
                <w:rFonts w:ascii="Arial Narrow" w:hAnsi="Arial Narrow" w:cs="Calibri"/>
                <w:color w:val="000000"/>
                <w:sz w:val="18"/>
                <w:szCs w:val="18"/>
              </w:rPr>
              <w:t>36,3</w:t>
            </w:r>
          </w:p>
        </w:tc>
        <w:tc>
          <w:tcPr>
            <w:tcW w:w="1107" w:type="dxa"/>
            <w:shd w:val="clear" w:color="auto" w:fill="auto"/>
            <w:noWrap/>
            <w:vAlign w:val="center"/>
            <w:hideMark/>
          </w:tcPr>
          <w:p w:rsidR="008301C7" w:rsidRDefault="008301C7" w:rsidP="00F26E81">
            <w:pPr>
              <w:spacing w:before="20" w:after="40"/>
              <w:jc w:val="right"/>
              <w:rPr>
                <w:rFonts w:ascii="Arial Narrow" w:hAnsi="Arial Narrow" w:cs="Calibri"/>
                <w:color w:val="000000"/>
                <w:sz w:val="18"/>
                <w:szCs w:val="18"/>
              </w:rPr>
            </w:pPr>
            <w:r>
              <w:rPr>
                <w:rFonts w:ascii="Arial Narrow" w:hAnsi="Arial Narrow" w:cs="Calibri"/>
                <w:color w:val="000000"/>
                <w:sz w:val="18"/>
                <w:szCs w:val="18"/>
              </w:rPr>
              <w:t>36,4</w:t>
            </w:r>
          </w:p>
        </w:tc>
        <w:tc>
          <w:tcPr>
            <w:tcW w:w="1140" w:type="dxa"/>
            <w:shd w:val="clear" w:color="000000" w:fill="D9D9D9"/>
            <w:noWrap/>
            <w:vAlign w:val="center"/>
            <w:hideMark/>
          </w:tcPr>
          <w:p w:rsidR="008301C7" w:rsidRDefault="008301C7" w:rsidP="00F26E81">
            <w:pPr>
              <w:spacing w:before="20" w:after="40"/>
              <w:jc w:val="right"/>
              <w:rPr>
                <w:rFonts w:ascii="Arial Narrow" w:hAnsi="Arial Narrow" w:cs="Calibri"/>
                <w:color w:val="000000"/>
                <w:sz w:val="18"/>
                <w:szCs w:val="18"/>
              </w:rPr>
            </w:pPr>
            <w:r>
              <w:rPr>
                <w:rFonts w:ascii="Arial Narrow" w:hAnsi="Arial Narrow" w:cs="Calibri"/>
                <w:color w:val="000000"/>
                <w:sz w:val="18"/>
                <w:szCs w:val="18"/>
              </w:rPr>
              <w:t>35,3</w:t>
            </w:r>
          </w:p>
        </w:tc>
        <w:tc>
          <w:tcPr>
            <w:tcW w:w="1140" w:type="dxa"/>
            <w:shd w:val="clear" w:color="auto" w:fill="auto"/>
            <w:noWrap/>
            <w:vAlign w:val="center"/>
            <w:hideMark/>
          </w:tcPr>
          <w:p w:rsidR="008301C7" w:rsidRDefault="008301C7" w:rsidP="00F26E81">
            <w:pPr>
              <w:spacing w:before="20" w:after="40"/>
              <w:jc w:val="right"/>
              <w:rPr>
                <w:rFonts w:ascii="Arial Narrow" w:hAnsi="Arial Narrow" w:cs="Calibri"/>
                <w:color w:val="000000"/>
                <w:sz w:val="18"/>
                <w:szCs w:val="18"/>
              </w:rPr>
            </w:pPr>
            <w:r>
              <w:rPr>
                <w:rFonts w:ascii="Arial Narrow" w:hAnsi="Arial Narrow" w:cs="Calibri"/>
                <w:color w:val="000000"/>
                <w:sz w:val="18"/>
                <w:szCs w:val="18"/>
              </w:rPr>
              <w:t>35,8</w:t>
            </w:r>
          </w:p>
        </w:tc>
        <w:tc>
          <w:tcPr>
            <w:tcW w:w="1119" w:type="dxa"/>
            <w:shd w:val="clear" w:color="000000" w:fill="D9D9D9"/>
            <w:noWrap/>
            <w:vAlign w:val="center"/>
            <w:hideMark/>
          </w:tcPr>
          <w:p w:rsidR="008301C7" w:rsidRDefault="008301C7" w:rsidP="00F26E81">
            <w:pPr>
              <w:spacing w:before="20" w:after="40"/>
              <w:jc w:val="right"/>
              <w:rPr>
                <w:rFonts w:ascii="Arial Narrow" w:hAnsi="Arial Narrow" w:cs="Calibri"/>
                <w:color w:val="000000"/>
                <w:sz w:val="18"/>
                <w:szCs w:val="18"/>
              </w:rPr>
            </w:pPr>
            <w:r>
              <w:rPr>
                <w:rFonts w:ascii="Arial Narrow" w:hAnsi="Arial Narrow" w:cs="Calibri"/>
                <w:color w:val="000000"/>
                <w:sz w:val="18"/>
                <w:szCs w:val="18"/>
              </w:rPr>
              <w:t>30,9</w:t>
            </w:r>
          </w:p>
        </w:tc>
        <w:tc>
          <w:tcPr>
            <w:tcW w:w="1107" w:type="dxa"/>
            <w:shd w:val="clear" w:color="000000" w:fill="FFFFFF"/>
            <w:noWrap/>
            <w:vAlign w:val="center"/>
            <w:hideMark/>
          </w:tcPr>
          <w:p w:rsidR="008301C7" w:rsidRDefault="008301C7" w:rsidP="00F26E81">
            <w:pPr>
              <w:spacing w:before="20" w:after="40"/>
              <w:jc w:val="right"/>
              <w:rPr>
                <w:rFonts w:ascii="Arial Narrow" w:hAnsi="Arial Narrow" w:cs="Calibri"/>
                <w:color w:val="000000"/>
                <w:sz w:val="18"/>
                <w:szCs w:val="18"/>
              </w:rPr>
            </w:pPr>
            <w:r>
              <w:rPr>
                <w:rFonts w:ascii="Arial Narrow" w:hAnsi="Arial Narrow" w:cs="Calibri"/>
                <w:color w:val="000000"/>
                <w:sz w:val="18"/>
                <w:szCs w:val="18"/>
              </w:rPr>
              <w:t>32,0</w:t>
            </w:r>
          </w:p>
        </w:tc>
      </w:tr>
      <w:tr w:rsidR="008301C7" w:rsidTr="00623229">
        <w:trPr>
          <w:trHeight w:val="255"/>
        </w:trPr>
        <w:tc>
          <w:tcPr>
            <w:tcW w:w="2748" w:type="dxa"/>
            <w:shd w:val="clear" w:color="auto" w:fill="auto"/>
            <w:noWrap/>
            <w:vAlign w:val="center"/>
            <w:hideMark/>
          </w:tcPr>
          <w:p w:rsidR="008301C7" w:rsidRDefault="008301C7" w:rsidP="00F26E81">
            <w:pPr>
              <w:spacing w:before="20" w:after="40"/>
              <w:rPr>
                <w:rFonts w:ascii="Arial Narrow" w:hAnsi="Arial Narrow" w:cs="Calibri"/>
                <w:color w:val="000000"/>
                <w:sz w:val="18"/>
                <w:szCs w:val="18"/>
              </w:rPr>
            </w:pPr>
            <w:r>
              <w:rPr>
                <w:rFonts w:ascii="Arial Narrow" w:hAnsi="Arial Narrow" w:cs="Calibri"/>
                <w:color w:val="000000"/>
                <w:sz w:val="18"/>
                <w:szCs w:val="18"/>
              </w:rPr>
              <w:t>Indice di struttura della popolazione attiva</w:t>
            </w:r>
          </w:p>
        </w:tc>
        <w:tc>
          <w:tcPr>
            <w:tcW w:w="1119" w:type="dxa"/>
            <w:shd w:val="clear" w:color="000000" w:fill="D9D9D9"/>
            <w:noWrap/>
            <w:vAlign w:val="center"/>
            <w:hideMark/>
          </w:tcPr>
          <w:p w:rsidR="008301C7" w:rsidRDefault="008301C7" w:rsidP="00F26E81">
            <w:pPr>
              <w:spacing w:before="20" w:after="40"/>
              <w:jc w:val="right"/>
              <w:rPr>
                <w:rFonts w:ascii="Arial Narrow" w:hAnsi="Arial Narrow" w:cs="Calibri"/>
                <w:color w:val="000000"/>
                <w:sz w:val="18"/>
                <w:szCs w:val="18"/>
              </w:rPr>
            </w:pPr>
            <w:r>
              <w:rPr>
                <w:rFonts w:ascii="Arial Narrow" w:hAnsi="Arial Narrow" w:cs="Calibri"/>
                <w:color w:val="000000"/>
                <w:sz w:val="18"/>
                <w:szCs w:val="18"/>
              </w:rPr>
              <w:t>133,3</w:t>
            </w:r>
          </w:p>
        </w:tc>
        <w:tc>
          <w:tcPr>
            <w:tcW w:w="1107" w:type="dxa"/>
            <w:shd w:val="clear" w:color="auto" w:fill="auto"/>
            <w:noWrap/>
            <w:vAlign w:val="center"/>
            <w:hideMark/>
          </w:tcPr>
          <w:p w:rsidR="008301C7" w:rsidRDefault="008301C7" w:rsidP="00F26E81">
            <w:pPr>
              <w:spacing w:before="20" w:after="40"/>
              <w:jc w:val="right"/>
              <w:rPr>
                <w:rFonts w:ascii="Arial Narrow" w:hAnsi="Arial Narrow" w:cs="Calibri"/>
                <w:color w:val="000000"/>
                <w:sz w:val="18"/>
                <w:szCs w:val="18"/>
              </w:rPr>
            </w:pPr>
            <w:r>
              <w:rPr>
                <w:rFonts w:ascii="Arial Narrow" w:hAnsi="Arial Narrow" w:cs="Calibri"/>
                <w:color w:val="000000"/>
                <w:sz w:val="18"/>
                <w:szCs w:val="18"/>
              </w:rPr>
              <w:t>140,7</w:t>
            </w:r>
          </w:p>
        </w:tc>
        <w:tc>
          <w:tcPr>
            <w:tcW w:w="1140" w:type="dxa"/>
            <w:shd w:val="clear" w:color="000000" w:fill="D9D9D9"/>
            <w:noWrap/>
            <w:vAlign w:val="center"/>
            <w:hideMark/>
          </w:tcPr>
          <w:p w:rsidR="008301C7" w:rsidRDefault="008301C7" w:rsidP="00F26E81">
            <w:pPr>
              <w:spacing w:before="20" w:after="40"/>
              <w:jc w:val="right"/>
              <w:rPr>
                <w:rFonts w:ascii="Arial Narrow" w:hAnsi="Arial Narrow" w:cs="Calibri"/>
                <w:color w:val="000000"/>
                <w:sz w:val="18"/>
                <w:szCs w:val="18"/>
              </w:rPr>
            </w:pPr>
            <w:r>
              <w:rPr>
                <w:rFonts w:ascii="Arial Narrow" w:hAnsi="Arial Narrow" w:cs="Calibri"/>
                <w:color w:val="000000"/>
                <w:sz w:val="18"/>
                <w:szCs w:val="18"/>
              </w:rPr>
              <w:t>131,3</w:t>
            </w:r>
          </w:p>
        </w:tc>
        <w:tc>
          <w:tcPr>
            <w:tcW w:w="1140" w:type="dxa"/>
            <w:shd w:val="clear" w:color="auto" w:fill="auto"/>
            <w:noWrap/>
            <w:vAlign w:val="center"/>
            <w:hideMark/>
          </w:tcPr>
          <w:p w:rsidR="008301C7" w:rsidRDefault="008301C7" w:rsidP="00F26E81">
            <w:pPr>
              <w:spacing w:before="20" w:after="40"/>
              <w:jc w:val="right"/>
              <w:rPr>
                <w:rFonts w:ascii="Arial Narrow" w:hAnsi="Arial Narrow" w:cs="Calibri"/>
                <w:color w:val="000000"/>
                <w:sz w:val="18"/>
                <w:szCs w:val="18"/>
              </w:rPr>
            </w:pPr>
            <w:r>
              <w:rPr>
                <w:rFonts w:ascii="Arial Narrow" w:hAnsi="Arial Narrow" w:cs="Calibri"/>
                <w:color w:val="000000"/>
                <w:sz w:val="18"/>
                <w:szCs w:val="18"/>
              </w:rPr>
              <w:t>139,3</w:t>
            </w:r>
          </w:p>
        </w:tc>
        <w:tc>
          <w:tcPr>
            <w:tcW w:w="1119" w:type="dxa"/>
            <w:shd w:val="clear" w:color="000000" w:fill="D9D9D9"/>
            <w:noWrap/>
            <w:vAlign w:val="center"/>
            <w:hideMark/>
          </w:tcPr>
          <w:p w:rsidR="008301C7" w:rsidRDefault="008301C7" w:rsidP="00F26E81">
            <w:pPr>
              <w:spacing w:before="20" w:after="40"/>
              <w:jc w:val="right"/>
              <w:rPr>
                <w:rFonts w:ascii="Arial Narrow" w:hAnsi="Arial Narrow" w:cs="Calibri"/>
                <w:color w:val="000000"/>
                <w:sz w:val="18"/>
                <w:szCs w:val="18"/>
              </w:rPr>
            </w:pPr>
            <w:r>
              <w:rPr>
                <w:rFonts w:ascii="Arial Narrow" w:hAnsi="Arial Narrow" w:cs="Calibri"/>
                <w:color w:val="000000"/>
                <w:sz w:val="18"/>
                <w:szCs w:val="18"/>
              </w:rPr>
              <w:t>113,0</w:t>
            </w:r>
          </w:p>
        </w:tc>
        <w:tc>
          <w:tcPr>
            <w:tcW w:w="1107" w:type="dxa"/>
            <w:shd w:val="clear" w:color="000000" w:fill="FFFFFF"/>
            <w:noWrap/>
            <w:vAlign w:val="center"/>
            <w:hideMark/>
          </w:tcPr>
          <w:p w:rsidR="008301C7" w:rsidRDefault="008301C7" w:rsidP="00F26E81">
            <w:pPr>
              <w:spacing w:before="20" w:after="40"/>
              <w:jc w:val="right"/>
              <w:rPr>
                <w:rFonts w:ascii="Arial Narrow" w:hAnsi="Arial Narrow" w:cs="Calibri"/>
                <w:color w:val="000000"/>
                <w:sz w:val="18"/>
                <w:szCs w:val="18"/>
              </w:rPr>
            </w:pPr>
            <w:r>
              <w:rPr>
                <w:rFonts w:ascii="Arial Narrow" w:hAnsi="Arial Narrow" w:cs="Calibri"/>
                <w:color w:val="000000"/>
                <w:sz w:val="18"/>
                <w:szCs w:val="18"/>
              </w:rPr>
              <w:t>120,7</w:t>
            </w:r>
          </w:p>
        </w:tc>
      </w:tr>
    </w:tbl>
    <w:p w:rsidR="00555ACF" w:rsidRDefault="00555ACF" w:rsidP="005B5D9A">
      <w:pPr>
        <w:spacing w:before="360" w:after="120"/>
        <w:jc w:val="both"/>
        <w:rPr>
          <w:rFonts w:ascii="Trebuchet MS" w:hAnsi="Trebuchet MS" w:cs="Arial"/>
          <w:color w:val="5F5F5F"/>
          <w:sz w:val="20"/>
          <w:szCs w:val="20"/>
        </w:rPr>
      </w:pPr>
      <w:r w:rsidRPr="00AC51DB">
        <w:rPr>
          <w:rFonts w:ascii="Trebuchet MS" w:hAnsi="Trebuchet MS" w:cs="Arial"/>
          <w:color w:val="5F5F5F"/>
          <w:sz w:val="20"/>
          <w:szCs w:val="20"/>
        </w:rPr>
        <w:t>L</w:t>
      </w:r>
      <w:r w:rsidR="00AC51DB" w:rsidRPr="00AC51DB">
        <w:rPr>
          <w:rFonts w:ascii="Trebuchet MS" w:hAnsi="Trebuchet MS" w:cs="Arial"/>
          <w:color w:val="5F5F5F"/>
          <w:sz w:val="20"/>
          <w:szCs w:val="20"/>
        </w:rPr>
        <w:t>a</w:t>
      </w:r>
      <w:r w:rsidR="009312A7" w:rsidRPr="00AC51DB">
        <w:rPr>
          <w:rFonts w:ascii="Trebuchet MS" w:hAnsi="Trebuchet MS" w:cs="Arial"/>
          <w:color w:val="5F5F5F"/>
          <w:sz w:val="20"/>
          <w:szCs w:val="20"/>
        </w:rPr>
        <w:t>provinc</w:t>
      </w:r>
      <w:r w:rsidR="00AC51DB" w:rsidRPr="00AC51DB">
        <w:rPr>
          <w:rFonts w:ascii="Trebuchet MS" w:hAnsi="Trebuchet MS" w:cs="Arial"/>
          <w:color w:val="5F5F5F"/>
          <w:sz w:val="20"/>
          <w:szCs w:val="20"/>
        </w:rPr>
        <w:t>ia</w:t>
      </w:r>
      <w:r w:rsidRPr="00AC51DB">
        <w:rPr>
          <w:rFonts w:ascii="Trebuchet MS" w:hAnsi="Trebuchet MS" w:cs="Arial"/>
          <w:color w:val="5F5F5F"/>
          <w:sz w:val="20"/>
          <w:szCs w:val="20"/>
        </w:rPr>
        <w:t xml:space="preserve"> di </w:t>
      </w:r>
      <w:r w:rsidR="00AC51DB" w:rsidRPr="00AC51DB">
        <w:rPr>
          <w:rFonts w:ascii="Trebuchet MS" w:hAnsi="Trebuchet MS" w:cs="Arial"/>
          <w:color w:val="5F5F5F"/>
          <w:sz w:val="20"/>
          <w:szCs w:val="20"/>
        </w:rPr>
        <w:t>Matera</w:t>
      </w:r>
      <w:r w:rsidR="0062765B" w:rsidRPr="00AC51DB">
        <w:rPr>
          <w:rFonts w:ascii="Trebuchet MS" w:hAnsi="Trebuchet MS" w:cs="Arial"/>
          <w:color w:val="5F5F5F"/>
          <w:sz w:val="20"/>
          <w:szCs w:val="20"/>
        </w:rPr>
        <w:t>presenta una</w:t>
      </w:r>
      <w:r w:rsidRPr="00AC51DB">
        <w:rPr>
          <w:rFonts w:ascii="Trebuchet MS" w:hAnsi="Trebuchet MS" w:cs="Arial"/>
          <w:color w:val="5F5F5F"/>
          <w:sz w:val="20"/>
          <w:szCs w:val="20"/>
        </w:rPr>
        <w:t xml:space="preserve"> struttura demografica più giovane</w:t>
      </w:r>
      <w:r w:rsidR="00AC51DB" w:rsidRPr="00AC51DB">
        <w:rPr>
          <w:rFonts w:ascii="Trebuchet MS" w:hAnsi="Trebuchet MS" w:cs="Arial"/>
          <w:color w:val="5F5F5F"/>
          <w:sz w:val="20"/>
          <w:szCs w:val="20"/>
        </w:rPr>
        <w:t xml:space="preserve">. L’età media </w:t>
      </w:r>
      <w:r w:rsidR="00F26E81">
        <w:rPr>
          <w:rFonts w:ascii="Trebuchet MS" w:hAnsi="Trebuchet MS" w:cs="Arial"/>
          <w:color w:val="5F5F5F"/>
          <w:sz w:val="20"/>
          <w:szCs w:val="20"/>
        </w:rPr>
        <w:t>è</w:t>
      </w:r>
      <w:r w:rsidR="00AC51DB" w:rsidRPr="00AC51DB">
        <w:rPr>
          <w:rFonts w:ascii="Trebuchet MS" w:hAnsi="Trebuchet MS" w:cs="Arial"/>
          <w:color w:val="5F5F5F"/>
          <w:sz w:val="20"/>
          <w:szCs w:val="20"/>
        </w:rPr>
        <w:t xml:space="preserve"> di 45 anni a Matera e di 46 a Potenza, l’indice di vecchiaia </w:t>
      </w:r>
      <w:r w:rsidR="00F26E81">
        <w:rPr>
          <w:rFonts w:ascii="Trebuchet MS" w:hAnsi="Trebuchet MS" w:cs="Arial"/>
          <w:color w:val="5F5F5F"/>
          <w:sz w:val="20"/>
          <w:szCs w:val="20"/>
        </w:rPr>
        <w:t>è</w:t>
      </w:r>
      <w:r w:rsidR="00AC51DB" w:rsidRPr="00AC51DB">
        <w:rPr>
          <w:rFonts w:ascii="Trebuchet MS" w:hAnsi="Trebuchet MS" w:cs="Arial"/>
          <w:color w:val="5F5F5F"/>
          <w:sz w:val="20"/>
          <w:szCs w:val="20"/>
        </w:rPr>
        <w:t xml:space="preserve"> pari, rispettivamente</w:t>
      </w:r>
      <w:r w:rsidR="00F26E81">
        <w:rPr>
          <w:rFonts w:ascii="Trebuchet MS" w:hAnsi="Trebuchet MS" w:cs="Arial"/>
          <w:color w:val="5F5F5F"/>
          <w:sz w:val="20"/>
          <w:szCs w:val="20"/>
        </w:rPr>
        <w:t>,</w:t>
      </w:r>
      <w:r w:rsidR="00AC51DB" w:rsidRPr="00AC51DB">
        <w:rPr>
          <w:rFonts w:ascii="Trebuchet MS" w:hAnsi="Trebuchet MS" w:cs="Arial"/>
          <w:color w:val="5F5F5F"/>
          <w:sz w:val="20"/>
          <w:szCs w:val="20"/>
        </w:rPr>
        <w:t xml:space="preserve"> a 189,4 e a 207,4; l’indice di struttura della popolazione attiva di Matera </w:t>
      </w:r>
      <w:r w:rsidR="00195562">
        <w:rPr>
          <w:rFonts w:ascii="Trebuchet MS" w:hAnsi="Trebuchet MS" w:cs="Arial"/>
          <w:color w:val="5F5F5F"/>
          <w:sz w:val="20"/>
          <w:szCs w:val="20"/>
        </w:rPr>
        <w:t xml:space="preserve">(129,0) </w:t>
      </w:r>
      <w:r w:rsidR="00AC51DB" w:rsidRPr="00AC51DB">
        <w:rPr>
          <w:rFonts w:ascii="Trebuchet MS" w:hAnsi="Trebuchet MS" w:cs="Arial"/>
          <w:color w:val="5F5F5F"/>
          <w:sz w:val="20"/>
          <w:szCs w:val="20"/>
        </w:rPr>
        <w:t xml:space="preserve">è di 6 punti </w:t>
      </w:r>
      <w:r w:rsidR="008E4B1E">
        <w:rPr>
          <w:rFonts w:ascii="Trebuchet MS" w:hAnsi="Trebuchet MS" w:cs="Arial"/>
          <w:color w:val="5F5F5F"/>
          <w:sz w:val="20"/>
          <w:szCs w:val="20"/>
        </w:rPr>
        <w:t>meno</w:t>
      </w:r>
      <w:r w:rsidR="00AC51DB" w:rsidRPr="00AC51DB">
        <w:rPr>
          <w:rFonts w:ascii="Trebuchet MS" w:hAnsi="Trebuchet MS" w:cs="Arial"/>
          <w:color w:val="5F5F5F"/>
          <w:sz w:val="20"/>
          <w:szCs w:val="20"/>
        </w:rPr>
        <w:t xml:space="preserve"> del corrispondente valore di Potenza (135,7). </w:t>
      </w:r>
    </w:p>
    <w:p w:rsidR="005C39B1" w:rsidRDefault="005C39B1" w:rsidP="00E072ED">
      <w:pPr>
        <w:spacing w:before="240" w:after="60"/>
        <w:jc w:val="both"/>
        <w:rPr>
          <w:rFonts w:ascii="Arial Narrow" w:hAnsi="Arial Narrow"/>
          <w:color w:val="595959" w:themeColor="text1" w:themeTint="A6"/>
          <w:sz w:val="20"/>
          <w:szCs w:val="20"/>
        </w:rPr>
      </w:pPr>
      <w:r w:rsidRPr="00710C34">
        <w:rPr>
          <w:rFonts w:ascii="Arial Narrow" w:hAnsi="Arial Narrow"/>
          <w:b/>
          <w:bCs/>
          <w:color w:val="595959" w:themeColor="text1" w:themeTint="A6"/>
          <w:sz w:val="22"/>
          <w:szCs w:val="22"/>
        </w:rPr>
        <w:t>PROSPETTO 4.</w:t>
      </w:r>
      <w:r w:rsidRPr="00710C34">
        <w:rPr>
          <w:rFonts w:ascii="Arial Narrow" w:hAnsi="Arial Narrow"/>
          <w:color w:val="595959" w:themeColor="text1" w:themeTint="A6"/>
          <w:sz w:val="22"/>
          <w:szCs w:val="22"/>
        </w:rPr>
        <w:t>INDICATORI DI STRUTTURA DELLA POPOLAZIONE PER PROVINCIA</w:t>
      </w:r>
      <w:r w:rsidRPr="00710C34">
        <w:rPr>
          <w:rFonts w:ascii="Arial Narrow" w:hAnsi="Arial Narrow"/>
          <w:color w:val="595959" w:themeColor="text1" w:themeTint="A6"/>
          <w:sz w:val="20"/>
          <w:szCs w:val="20"/>
        </w:rPr>
        <w:t>. Censimento 2019</w:t>
      </w:r>
    </w:p>
    <w:tbl>
      <w:tblPr>
        <w:tblW w:w="5000" w:type="pct"/>
        <w:tblCellMar>
          <w:left w:w="70" w:type="dxa"/>
          <w:right w:w="70" w:type="dxa"/>
        </w:tblCellMar>
        <w:tblLook w:val="04A0"/>
      </w:tblPr>
      <w:tblGrid>
        <w:gridCol w:w="1827"/>
        <w:gridCol w:w="1140"/>
        <w:gridCol w:w="1139"/>
        <w:gridCol w:w="1139"/>
        <w:gridCol w:w="1139"/>
        <w:gridCol w:w="1677"/>
        <w:gridCol w:w="1675"/>
      </w:tblGrid>
      <w:tr w:rsidR="00D5536E" w:rsidTr="00D43079">
        <w:trPr>
          <w:trHeight w:val="255"/>
        </w:trPr>
        <w:tc>
          <w:tcPr>
            <w:tcW w:w="882" w:type="pct"/>
            <w:tcBorders>
              <w:top w:val="single" w:sz="4" w:space="0" w:color="auto"/>
              <w:left w:val="nil"/>
              <w:bottom w:val="single" w:sz="4" w:space="0" w:color="auto"/>
              <w:right w:val="nil"/>
            </w:tcBorders>
            <w:shd w:val="clear" w:color="auto" w:fill="auto"/>
            <w:vAlign w:val="center"/>
            <w:hideMark/>
          </w:tcPr>
          <w:bookmarkEnd w:id="0"/>
          <w:p w:rsidR="002174A0" w:rsidRDefault="002174A0" w:rsidP="00D43079">
            <w:pPr>
              <w:spacing w:before="40" w:after="20"/>
              <w:rPr>
                <w:rFonts w:ascii="Arial Narrow" w:hAnsi="Arial Narrow"/>
                <w:b/>
                <w:bCs/>
                <w:color w:val="000000"/>
                <w:sz w:val="18"/>
                <w:szCs w:val="18"/>
              </w:rPr>
            </w:pPr>
            <w:r>
              <w:rPr>
                <w:rFonts w:ascii="Arial Narrow" w:hAnsi="Arial Narrow"/>
                <w:b/>
                <w:bCs/>
                <w:color w:val="000000"/>
                <w:sz w:val="18"/>
                <w:szCs w:val="18"/>
              </w:rPr>
              <w:t>PROVINCE</w:t>
            </w:r>
          </w:p>
        </w:tc>
        <w:tc>
          <w:tcPr>
            <w:tcW w:w="550" w:type="pct"/>
            <w:tcBorders>
              <w:top w:val="single" w:sz="4" w:space="0" w:color="auto"/>
              <w:left w:val="nil"/>
              <w:bottom w:val="single" w:sz="4" w:space="0" w:color="auto"/>
              <w:right w:val="nil"/>
            </w:tcBorders>
            <w:shd w:val="clear" w:color="auto" w:fill="auto"/>
            <w:tcMar>
              <w:left w:w="0" w:type="dxa"/>
              <w:right w:w="28" w:type="dxa"/>
            </w:tcMar>
            <w:vAlign w:val="center"/>
            <w:hideMark/>
          </w:tcPr>
          <w:p w:rsidR="002174A0" w:rsidRPr="0061292D" w:rsidRDefault="002174A0" w:rsidP="00D43079">
            <w:pPr>
              <w:spacing w:before="40" w:after="20"/>
              <w:jc w:val="right"/>
              <w:rPr>
                <w:rFonts w:ascii="Arial Narrow" w:hAnsi="Arial Narrow"/>
                <w:b/>
                <w:bCs/>
                <w:color w:val="000000"/>
                <w:sz w:val="18"/>
                <w:szCs w:val="18"/>
              </w:rPr>
            </w:pPr>
            <w:r w:rsidRPr="0061292D">
              <w:rPr>
                <w:rFonts w:ascii="Arial Narrow" w:hAnsi="Arial Narrow"/>
                <w:b/>
                <w:bCs/>
                <w:color w:val="000000"/>
                <w:sz w:val="18"/>
                <w:szCs w:val="18"/>
              </w:rPr>
              <w:t>Rapporto di mascolinità</w:t>
            </w:r>
          </w:p>
        </w:tc>
        <w:tc>
          <w:tcPr>
            <w:tcW w:w="550" w:type="pct"/>
            <w:tcBorders>
              <w:top w:val="single" w:sz="4" w:space="0" w:color="auto"/>
              <w:left w:val="nil"/>
              <w:bottom w:val="single" w:sz="4" w:space="0" w:color="auto"/>
              <w:right w:val="nil"/>
            </w:tcBorders>
            <w:shd w:val="clear" w:color="auto" w:fill="auto"/>
            <w:tcMar>
              <w:left w:w="0" w:type="dxa"/>
              <w:right w:w="28" w:type="dxa"/>
            </w:tcMar>
            <w:vAlign w:val="center"/>
            <w:hideMark/>
          </w:tcPr>
          <w:p w:rsidR="002174A0" w:rsidRPr="0061292D" w:rsidRDefault="002174A0" w:rsidP="00D43079">
            <w:pPr>
              <w:spacing w:before="40" w:after="20"/>
              <w:jc w:val="right"/>
              <w:rPr>
                <w:rFonts w:ascii="Arial Narrow" w:hAnsi="Arial Narrow"/>
                <w:b/>
                <w:bCs/>
                <w:color w:val="000000"/>
                <w:sz w:val="18"/>
                <w:szCs w:val="18"/>
              </w:rPr>
            </w:pPr>
            <w:r w:rsidRPr="0061292D">
              <w:rPr>
                <w:rFonts w:ascii="Arial Narrow" w:hAnsi="Arial Narrow"/>
                <w:b/>
                <w:bCs/>
                <w:color w:val="000000"/>
                <w:sz w:val="18"/>
                <w:szCs w:val="18"/>
              </w:rPr>
              <w:t>Età media</w:t>
            </w:r>
          </w:p>
        </w:tc>
        <w:tc>
          <w:tcPr>
            <w:tcW w:w="550" w:type="pct"/>
            <w:tcBorders>
              <w:top w:val="single" w:sz="4" w:space="0" w:color="auto"/>
              <w:left w:val="nil"/>
              <w:bottom w:val="single" w:sz="4" w:space="0" w:color="auto"/>
              <w:right w:val="nil"/>
            </w:tcBorders>
            <w:shd w:val="clear" w:color="auto" w:fill="auto"/>
            <w:tcMar>
              <w:left w:w="0" w:type="dxa"/>
              <w:right w:w="28" w:type="dxa"/>
            </w:tcMar>
            <w:vAlign w:val="center"/>
            <w:hideMark/>
          </w:tcPr>
          <w:p w:rsidR="002174A0" w:rsidRPr="0061292D" w:rsidRDefault="002174A0" w:rsidP="00D43079">
            <w:pPr>
              <w:spacing w:before="40" w:after="20"/>
              <w:jc w:val="right"/>
              <w:rPr>
                <w:rFonts w:ascii="Arial Narrow" w:hAnsi="Arial Narrow"/>
                <w:b/>
                <w:bCs/>
                <w:color w:val="000000"/>
                <w:sz w:val="18"/>
                <w:szCs w:val="18"/>
              </w:rPr>
            </w:pPr>
            <w:r w:rsidRPr="0061292D">
              <w:rPr>
                <w:rFonts w:ascii="Arial Narrow" w:hAnsi="Arial Narrow"/>
                <w:b/>
                <w:bCs/>
                <w:color w:val="000000"/>
                <w:sz w:val="18"/>
                <w:szCs w:val="18"/>
              </w:rPr>
              <w:t>Indice di vecchiaia</w:t>
            </w:r>
          </w:p>
        </w:tc>
        <w:tc>
          <w:tcPr>
            <w:tcW w:w="550" w:type="pct"/>
            <w:tcBorders>
              <w:top w:val="single" w:sz="4" w:space="0" w:color="auto"/>
              <w:left w:val="nil"/>
              <w:bottom w:val="single" w:sz="4" w:space="0" w:color="auto"/>
              <w:right w:val="nil"/>
            </w:tcBorders>
            <w:shd w:val="clear" w:color="auto" w:fill="auto"/>
            <w:tcMar>
              <w:left w:w="0" w:type="dxa"/>
              <w:right w:w="28" w:type="dxa"/>
            </w:tcMar>
            <w:vAlign w:val="center"/>
            <w:hideMark/>
          </w:tcPr>
          <w:p w:rsidR="002174A0" w:rsidRPr="0061292D" w:rsidRDefault="002174A0" w:rsidP="00D43079">
            <w:pPr>
              <w:spacing w:before="40" w:after="20"/>
              <w:jc w:val="right"/>
              <w:rPr>
                <w:rFonts w:ascii="Arial Narrow" w:hAnsi="Arial Narrow"/>
                <w:b/>
                <w:bCs/>
                <w:color w:val="000000"/>
                <w:sz w:val="18"/>
                <w:szCs w:val="18"/>
              </w:rPr>
            </w:pPr>
            <w:r w:rsidRPr="0061292D">
              <w:rPr>
                <w:rFonts w:ascii="Arial Narrow" w:hAnsi="Arial Narrow"/>
                <w:b/>
                <w:bCs/>
                <w:color w:val="000000"/>
                <w:sz w:val="18"/>
                <w:szCs w:val="18"/>
              </w:rPr>
              <w:t>Indice di dipendenza</w:t>
            </w:r>
          </w:p>
        </w:tc>
        <w:tc>
          <w:tcPr>
            <w:tcW w:w="809" w:type="pct"/>
            <w:tcBorders>
              <w:top w:val="single" w:sz="4" w:space="0" w:color="auto"/>
              <w:left w:val="nil"/>
              <w:bottom w:val="single" w:sz="4" w:space="0" w:color="auto"/>
              <w:right w:val="nil"/>
            </w:tcBorders>
            <w:shd w:val="clear" w:color="auto" w:fill="auto"/>
            <w:tcMar>
              <w:left w:w="0" w:type="dxa"/>
              <w:right w:w="28" w:type="dxa"/>
            </w:tcMar>
            <w:vAlign w:val="center"/>
            <w:hideMark/>
          </w:tcPr>
          <w:p w:rsidR="002174A0" w:rsidRPr="0061292D" w:rsidRDefault="002174A0" w:rsidP="00D43079">
            <w:pPr>
              <w:spacing w:before="40" w:after="20"/>
              <w:jc w:val="right"/>
              <w:rPr>
                <w:rFonts w:ascii="Arial Narrow" w:hAnsi="Arial Narrow"/>
                <w:b/>
                <w:bCs/>
                <w:color w:val="000000"/>
                <w:sz w:val="18"/>
                <w:szCs w:val="18"/>
              </w:rPr>
            </w:pPr>
            <w:r w:rsidRPr="0061292D">
              <w:rPr>
                <w:rFonts w:ascii="Arial Narrow" w:hAnsi="Arial Narrow"/>
                <w:b/>
                <w:bCs/>
                <w:color w:val="000000"/>
                <w:sz w:val="18"/>
                <w:szCs w:val="18"/>
              </w:rPr>
              <w:t>Indice di dipendenza anziani</w:t>
            </w:r>
          </w:p>
        </w:tc>
        <w:tc>
          <w:tcPr>
            <w:tcW w:w="808" w:type="pct"/>
            <w:tcBorders>
              <w:top w:val="single" w:sz="4" w:space="0" w:color="auto"/>
              <w:left w:val="nil"/>
              <w:bottom w:val="single" w:sz="4" w:space="0" w:color="auto"/>
              <w:right w:val="nil"/>
            </w:tcBorders>
            <w:shd w:val="clear" w:color="auto" w:fill="auto"/>
            <w:tcMar>
              <w:left w:w="0" w:type="dxa"/>
              <w:right w:w="28" w:type="dxa"/>
            </w:tcMar>
            <w:vAlign w:val="center"/>
            <w:hideMark/>
          </w:tcPr>
          <w:p w:rsidR="002174A0" w:rsidRPr="0061292D" w:rsidRDefault="002174A0" w:rsidP="00D43079">
            <w:pPr>
              <w:spacing w:before="40" w:after="20"/>
              <w:jc w:val="right"/>
              <w:rPr>
                <w:rFonts w:ascii="Arial Narrow" w:hAnsi="Arial Narrow"/>
                <w:b/>
                <w:bCs/>
                <w:color w:val="000000"/>
                <w:sz w:val="18"/>
                <w:szCs w:val="18"/>
              </w:rPr>
            </w:pPr>
            <w:r w:rsidRPr="0061292D">
              <w:rPr>
                <w:rFonts w:ascii="Arial Narrow" w:hAnsi="Arial Narrow"/>
                <w:b/>
                <w:bCs/>
                <w:color w:val="000000"/>
                <w:sz w:val="18"/>
                <w:szCs w:val="18"/>
              </w:rPr>
              <w:t>Indice di struttura della popolazione attiva</w:t>
            </w:r>
          </w:p>
        </w:tc>
      </w:tr>
      <w:tr w:rsidR="00D5536E" w:rsidTr="00D43079">
        <w:trPr>
          <w:trHeight w:val="255"/>
        </w:trPr>
        <w:tc>
          <w:tcPr>
            <w:tcW w:w="882" w:type="pct"/>
            <w:tcBorders>
              <w:top w:val="nil"/>
              <w:left w:val="nil"/>
              <w:bottom w:val="single" w:sz="4" w:space="0" w:color="auto"/>
              <w:right w:val="nil"/>
            </w:tcBorders>
            <w:shd w:val="clear" w:color="auto" w:fill="auto"/>
            <w:vAlign w:val="center"/>
            <w:hideMark/>
          </w:tcPr>
          <w:p w:rsidR="002174A0" w:rsidRDefault="002174A0" w:rsidP="00D43079">
            <w:pPr>
              <w:spacing w:before="40" w:after="20"/>
              <w:rPr>
                <w:rFonts w:ascii="Arial Narrow" w:hAnsi="Arial Narrow"/>
                <w:color w:val="000000"/>
                <w:sz w:val="18"/>
                <w:szCs w:val="18"/>
              </w:rPr>
            </w:pPr>
            <w:r>
              <w:rPr>
                <w:rFonts w:ascii="Arial Narrow" w:hAnsi="Arial Narrow"/>
                <w:color w:val="000000"/>
                <w:sz w:val="18"/>
                <w:szCs w:val="18"/>
              </w:rPr>
              <w:t>Matera</w:t>
            </w:r>
          </w:p>
        </w:tc>
        <w:tc>
          <w:tcPr>
            <w:tcW w:w="550" w:type="pct"/>
            <w:tcBorders>
              <w:top w:val="nil"/>
              <w:left w:val="nil"/>
              <w:bottom w:val="single" w:sz="4" w:space="0" w:color="auto"/>
              <w:right w:val="nil"/>
            </w:tcBorders>
            <w:shd w:val="clear" w:color="000000" w:fill="D9D9D9"/>
            <w:tcMar>
              <w:right w:w="28" w:type="dxa"/>
            </w:tcMar>
            <w:vAlign w:val="center"/>
            <w:hideMark/>
          </w:tcPr>
          <w:p w:rsidR="002174A0" w:rsidRDefault="002174A0" w:rsidP="00D43079">
            <w:pPr>
              <w:spacing w:before="40" w:after="20"/>
              <w:jc w:val="right"/>
              <w:rPr>
                <w:rFonts w:ascii="Arial Narrow" w:hAnsi="Arial Narrow"/>
                <w:color w:val="000000"/>
                <w:sz w:val="18"/>
                <w:szCs w:val="18"/>
              </w:rPr>
            </w:pPr>
            <w:r>
              <w:rPr>
                <w:rFonts w:ascii="Arial Narrow" w:hAnsi="Arial Narrow"/>
                <w:color w:val="000000"/>
                <w:sz w:val="18"/>
                <w:szCs w:val="18"/>
              </w:rPr>
              <w:t>96,9</w:t>
            </w:r>
          </w:p>
        </w:tc>
        <w:tc>
          <w:tcPr>
            <w:tcW w:w="550" w:type="pct"/>
            <w:tcBorders>
              <w:top w:val="nil"/>
              <w:left w:val="nil"/>
              <w:bottom w:val="single" w:sz="4" w:space="0" w:color="auto"/>
              <w:right w:val="nil"/>
            </w:tcBorders>
            <w:shd w:val="clear" w:color="auto" w:fill="auto"/>
            <w:tcMar>
              <w:right w:w="28" w:type="dxa"/>
            </w:tcMar>
            <w:vAlign w:val="center"/>
            <w:hideMark/>
          </w:tcPr>
          <w:p w:rsidR="002174A0" w:rsidRDefault="002174A0" w:rsidP="00D43079">
            <w:pPr>
              <w:spacing w:before="40" w:after="20"/>
              <w:jc w:val="right"/>
              <w:rPr>
                <w:rFonts w:ascii="Arial Narrow" w:hAnsi="Arial Narrow"/>
                <w:color w:val="000000"/>
                <w:sz w:val="18"/>
                <w:szCs w:val="18"/>
              </w:rPr>
            </w:pPr>
            <w:r>
              <w:rPr>
                <w:rFonts w:ascii="Arial Narrow" w:hAnsi="Arial Narrow"/>
                <w:color w:val="000000"/>
                <w:sz w:val="18"/>
                <w:szCs w:val="18"/>
              </w:rPr>
              <w:t>45,1</w:t>
            </w:r>
          </w:p>
        </w:tc>
        <w:tc>
          <w:tcPr>
            <w:tcW w:w="550" w:type="pct"/>
            <w:tcBorders>
              <w:top w:val="nil"/>
              <w:left w:val="nil"/>
              <w:bottom w:val="single" w:sz="4" w:space="0" w:color="auto"/>
              <w:right w:val="nil"/>
            </w:tcBorders>
            <w:shd w:val="clear" w:color="000000" w:fill="D9D9D9"/>
            <w:tcMar>
              <w:right w:w="28" w:type="dxa"/>
            </w:tcMar>
            <w:vAlign w:val="center"/>
            <w:hideMark/>
          </w:tcPr>
          <w:p w:rsidR="002174A0" w:rsidRDefault="002174A0" w:rsidP="00D43079">
            <w:pPr>
              <w:spacing w:before="40" w:after="20"/>
              <w:jc w:val="right"/>
              <w:rPr>
                <w:rFonts w:ascii="Arial Narrow" w:hAnsi="Arial Narrow"/>
                <w:color w:val="000000"/>
                <w:sz w:val="18"/>
                <w:szCs w:val="18"/>
              </w:rPr>
            </w:pPr>
            <w:r>
              <w:rPr>
                <w:rFonts w:ascii="Arial Narrow" w:hAnsi="Arial Narrow"/>
                <w:color w:val="000000"/>
                <w:sz w:val="18"/>
                <w:szCs w:val="18"/>
              </w:rPr>
              <w:t>189,4</w:t>
            </w:r>
          </w:p>
        </w:tc>
        <w:tc>
          <w:tcPr>
            <w:tcW w:w="550" w:type="pct"/>
            <w:tcBorders>
              <w:top w:val="nil"/>
              <w:left w:val="nil"/>
              <w:bottom w:val="single" w:sz="4" w:space="0" w:color="auto"/>
              <w:right w:val="nil"/>
            </w:tcBorders>
            <w:shd w:val="clear" w:color="auto" w:fill="auto"/>
            <w:tcMar>
              <w:right w:w="28" w:type="dxa"/>
            </w:tcMar>
            <w:vAlign w:val="center"/>
            <w:hideMark/>
          </w:tcPr>
          <w:p w:rsidR="002174A0" w:rsidRDefault="002174A0" w:rsidP="00D43079">
            <w:pPr>
              <w:spacing w:before="40" w:after="20"/>
              <w:jc w:val="right"/>
              <w:rPr>
                <w:rFonts w:ascii="Arial Narrow" w:hAnsi="Arial Narrow"/>
                <w:color w:val="000000"/>
                <w:sz w:val="18"/>
                <w:szCs w:val="18"/>
              </w:rPr>
            </w:pPr>
            <w:r>
              <w:rPr>
                <w:rFonts w:ascii="Arial Narrow" w:hAnsi="Arial Narrow"/>
                <w:color w:val="000000"/>
                <w:sz w:val="18"/>
                <w:szCs w:val="18"/>
              </w:rPr>
              <w:t>54,4</w:t>
            </w:r>
          </w:p>
        </w:tc>
        <w:tc>
          <w:tcPr>
            <w:tcW w:w="809" w:type="pct"/>
            <w:tcBorders>
              <w:top w:val="nil"/>
              <w:left w:val="nil"/>
              <w:bottom w:val="single" w:sz="4" w:space="0" w:color="auto"/>
              <w:right w:val="nil"/>
            </w:tcBorders>
            <w:shd w:val="clear" w:color="000000" w:fill="D9D9D9"/>
            <w:tcMar>
              <w:right w:w="28" w:type="dxa"/>
            </w:tcMar>
            <w:vAlign w:val="center"/>
            <w:hideMark/>
          </w:tcPr>
          <w:p w:rsidR="002174A0" w:rsidRDefault="002174A0" w:rsidP="00D43079">
            <w:pPr>
              <w:spacing w:before="40" w:after="20"/>
              <w:jc w:val="right"/>
              <w:rPr>
                <w:rFonts w:ascii="Arial Narrow" w:hAnsi="Arial Narrow"/>
                <w:color w:val="000000"/>
                <w:sz w:val="18"/>
                <w:szCs w:val="18"/>
              </w:rPr>
            </w:pPr>
            <w:r>
              <w:rPr>
                <w:rFonts w:ascii="Arial Narrow" w:hAnsi="Arial Narrow"/>
                <w:color w:val="000000"/>
                <w:sz w:val="18"/>
                <w:szCs w:val="18"/>
              </w:rPr>
              <w:t>35,6</w:t>
            </w:r>
          </w:p>
        </w:tc>
        <w:tc>
          <w:tcPr>
            <w:tcW w:w="808" w:type="pct"/>
            <w:tcBorders>
              <w:top w:val="nil"/>
              <w:left w:val="nil"/>
              <w:bottom w:val="single" w:sz="4" w:space="0" w:color="auto"/>
              <w:right w:val="nil"/>
            </w:tcBorders>
            <w:shd w:val="clear" w:color="auto" w:fill="auto"/>
            <w:tcMar>
              <w:right w:w="28" w:type="dxa"/>
            </w:tcMar>
            <w:vAlign w:val="center"/>
            <w:hideMark/>
          </w:tcPr>
          <w:p w:rsidR="002174A0" w:rsidRDefault="002174A0" w:rsidP="00D43079">
            <w:pPr>
              <w:spacing w:before="40" w:after="20"/>
              <w:jc w:val="right"/>
              <w:rPr>
                <w:rFonts w:ascii="Arial Narrow" w:hAnsi="Arial Narrow"/>
                <w:color w:val="000000"/>
                <w:sz w:val="18"/>
                <w:szCs w:val="18"/>
              </w:rPr>
            </w:pPr>
            <w:r>
              <w:rPr>
                <w:rFonts w:ascii="Arial Narrow" w:hAnsi="Arial Narrow"/>
                <w:color w:val="000000"/>
                <w:sz w:val="18"/>
                <w:szCs w:val="18"/>
              </w:rPr>
              <w:t>129,0</w:t>
            </w:r>
          </w:p>
        </w:tc>
      </w:tr>
      <w:tr w:rsidR="00D5536E" w:rsidTr="00D43079">
        <w:trPr>
          <w:trHeight w:val="255"/>
        </w:trPr>
        <w:tc>
          <w:tcPr>
            <w:tcW w:w="882" w:type="pct"/>
            <w:tcBorders>
              <w:top w:val="nil"/>
              <w:left w:val="nil"/>
              <w:bottom w:val="single" w:sz="4" w:space="0" w:color="auto"/>
              <w:right w:val="nil"/>
            </w:tcBorders>
            <w:shd w:val="clear" w:color="auto" w:fill="auto"/>
            <w:vAlign w:val="center"/>
            <w:hideMark/>
          </w:tcPr>
          <w:p w:rsidR="002174A0" w:rsidRDefault="002174A0" w:rsidP="00D43079">
            <w:pPr>
              <w:spacing w:before="40" w:after="20"/>
              <w:rPr>
                <w:rFonts w:ascii="Arial Narrow" w:hAnsi="Arial Narrow"/>
                <w:color w:val="000000"/>
                <w:sz w:val="18"/>
                <w:szCs w:val="18"/>
              </w:rPr>
            </w:pPr>
            <w:r>
              <w:rPr>
                <w:rFonts w:ascii="Arial Narrow" w:hAnsi="Arial Narrow"/>
                <w:color w:val="000000"/>
                <w:sz w:val="18"/>
                <w:szCs w:val="18"/>
              </w:rPr>
              <w:t>Potenza</w:t>
            </w:r>
          </w:p>
        </w:tc>
        <w:tc>
          <w:tcPr>
            <w:tcW w:w="550" w:type="pct"/>
            <w:tcBorders>
              <w:top w:val="nil"/>
              <w:left w:val="nil"/>
              <w:bottom w:val="single" w:sz="4" w:space="0" w:color="auto"/>
              <w:right w:val="nil"/>
            </w:tcBorders>
            <w:shd w:val="clear" w:color="000000" w:fill="D9D9D9"/>
            <w:tcMar>
              <w:right w:w="28" w:type="dxa"/>
            </w:tcMar>
            <w:vAlign w:val="center"/>
            <w:hideMark/>
          </w:tcPr>
          <w:p w:rsidR="002174A0" w:rsidRDefault="002174A0" w:rsidP="00D43079">
            <w:pPr>
              <w:spacing w:before="40" w:after="20"/>
              <w:jc w:val="right"/>
              <w:rPr>
                <w:rFonts w:ascii="Arial Narrow" w:hAnsi="Arial Narrow"/>
                <w:color w:val="000000"/>
                <w:sz w:val="18"/>
                <w:szCs w:val="18"/>
              </w:rPr>
            </w:pPr>
            <w:r>
              <w:rPr>
                <w:rFonts w:ascii="Arial Narrow" w:hAnsi="Arial Narrow"/>
                <w:color w:val="000000"/>
                <w:sz w:val="18"/>
                <w:szCs w:val="18"/>
              </w:rPr>
              <w:t>96,8</w:t>
            </w:r>
          </w:p>
        </w:tc>
        <w:tc>
          <w:tcPr>
            <w:tcW w:w="550" w:type="pct"/>
            <w:tcBorders>
              <w:top w:val="nil"/>
              <w:left w:val="nil"/>
              <w:bottom w:val="single" w:sz="4" w:space="0" w:color="auto"/>
              <w:right w:val="nil"/>
            </w:tcBorders>
            <w:shd w:val="clear" w:color="auto" w:fill="auto"/>
            <w:tcMar>
              <w:right w:w="28" w:type="dxa"/>
            </w:tcMar>
            <w:vAlign w:val="center"/>
            <w:hideMark/>
          </w:tcPr>
          <w:p w:rsidR="002174A0" w:rsidRDefault="002174A0" w:rsidP="00D43079">
            <w:pPr>
              <w:spacing w:before="40" w:after="20"/>
              <w:jc w:val="right"/>
              <w:rPr>
                <w:rFonts w:ascii="Arial Narrow" w:hAnsi="Arial Narrow"/>
                <w:color w:val="000000"/>
                <w:sz w:val="18"/>
                <w:szCs w:val="18"/>
              </w:rPr>
            </w:pPr>
            <w:r>
              <w:rPr>
                <w:rFonts w:ascii="Arial Narrow" w:hAnsi="Arial Narrow"/>
                <w:color w:val="000000"/>
                <w:sz w:val="18"/>
                <w:szCs w:val="18"/>
              </w:rPr>
              <w:t>46,0</w:t>
            </w:r>
          </w:p>
        </w:tc>
        <w:tc>
          <w:tcPr>
            <w:tcW w:w="550" w:type="pct"/>
            <w:tcBorders>
              <w:top w:val="nil"/>
              <w:left w:val="nil"/>
              <w:bottom w:val="single" w:sz="4" w:space="0" w:color="auto"/>
              <w:right w:val="nil"/>
            </w:tcBorders>
            <w:shd w:val="clear" w:color="000000" w:fill="D9D9D9"/>
            <w:tcMar>
              <w:right w:w="28" w:type="dxa"/>
            </w:tcMar>
            <w:vAlign w:val="center"/>
            <w:hideMark/>
          </w:tcPr>
          <w:p w:rsidR="002174A0" w:rsidRDefault="002174A0" w:rsidP="00D43079">
            <w:pPr>
              <w:spacing w:before="40" w:after="20"/>
              <w:jc w:val="right"/>
              <w:rPr>
                <w:rFonts w:ascii="Arial Narrow" w:hAnsi="Arial Narrow"/>
                <w:color w:val="000000"/>
                <w:sz w:val="18"/>
                <w:szCs w:val="18"/>
              </w:rPr>
            </w:pPr>
            <w:r>
              <w:rPr>
                <w:rFonts w:ascii="Arial Narrow" w:hAnsi="Arial Narrow"/>
                <w:color w:val="000000"/>
                <w:sz w:val="18"/>
                <w:szCs w:val="18"/>
              </w:rPr>
              <w:t>207,4</w:t>
            </w:r>
          </w:p>
        </w:tc>
        <w:tc>
          <w:tcPr>
            <w:tcW w:w="550" w:type="pct"/>
            <w:tcBorders>
              <w:top w:val="nil"/>
              <w:left w:val="nil"/>
              <w:bottom w:val="single" w:sz="4" w:space="0" w:color="auto"/>
              <w:right w:val="nil"/>
            </w:tcBorders>
            <w:shd w:val="clear" w:color="auto" w:fill="auto"/>
            <w:tcMar>
              <w:right w:w="28" w:type="dxa"/>
            </w:tcMar>
            <w:vAlign w:val="center"/>
            <w:hideMark/>
          </w:tcPr>
          <w:p w:rsidR="002174A0" w:rsidRDefault="002174A0" w:rsidP="00D43079">
            <w:pPr>
              <w:spacing w:before="40" w:after="20"/>
              <w:jc w:val="right"/>
              <w:rPr>
                <w:rFonts w:ascii="Arial Narrow" w:hAnsi="Arial Narrow"/>
                <w:color w:val="000000"/>
                <w:sz w:val="18"/>
                <w:szCs w:val="18"/>
              </w:rPr>
            </w:pPr>
            <w:r>
              <w:rPr>
                <w:rFonts w:ascii="Arial Narrow" w:hAnsi="Arial Narrow"/>
                <w:color w:val="000000"/>
                <w:sz w:val="18"/>
                <w:szCs w:val="18"/>
              </w:rPr>
              <w:t>54,3</w:t>
            </w:r>
          </w:p>
        </w:tc>
        <w:tc>
          <w:tcPr>
            <w:tcW w:w="809" w:type="pct"/>
            <w:tcBorders>
              <w:top w:val="nil"/>
              <w:left w:val="nil"/>
              <w:bottom w:val="single" w:sz="4" w:space="0" w:color="auto"/>
              <w:right w:val="nil"/>
            </w:tcBorders>
            <w:shd w:val="clear" w:color="000000" w:fill="D9D9D9"/>
            <w:tcMar>
              <w:right w:w="28" w:type="dxa"/>
            </w:tcMar>
            <w:vAlign w:val="center"/>
            <w:hideMark/>
          </w:tcPr>
          <w:p w:rsidR="002174A0" w:rsidRDefault="002174A0" w:rsidP="00D43079">
            <w:pPr>
              <w:spacing w:before="40" w:after="20"/>
              <w:jc w:val="right"/>
              <w:rPr>
                <w:rFonts w:ascii="Arial Narrow" w:hAnsi="Arial Narrow"/>
                <w:color w:val="000000"/>
                <w:sz w:val="18"/>
                <w:szCs w:val="18"/>
              </w:rPr>
            </w:pPr>
            <w:r>
              <w:rPr>
                <w:rFonts w:ascii="Arial Narrow" w:hAnsi="Arial Narrow"/>
                <w:color w:val="000000"/>
                <w:sz w:val="18"/>
                <w:szCs w:val="18"/>
              </w:rPr>
              <w:t>36,6</w:t>
            </w:r>
          </w:p>
        </w:tc>
        <w:tc>
          <w:tcPr>
            <w:tcW w:w="808" w:type="pct"/>
            <w:tcBorders>
              <w:top w:val="nil"/>
              <w:left w:val="nil"/>
              <w:bottom w:val="single" w:sz="4" w:space="0" w:color="auto"/>
              <w:right w:val="nil"/>
            </w:tcBorders>
            <w:shd w:val="clear" w:color="auto" w:fill="auto"/>
            <w:tcMar>
              <w:right w:w="28" w:type="dxa"/>
            </w:tcMar>
            <w:vAlign w:val="center"/>
            <w:hideMark/>
          </w:tcPr>
          <w:p w:rsidR="002174A0" w:rsidRDefault="002174A0" w:rsidP="00D43079">
            <w:pPr>
              <w:spacing w:before="40" w:after="20"/>
              <w:jc w:val="right"/>
              <w:rPr>
                <w:rFonts w:ascii="Arial Narrow" w:hAnsi="Arial Narrow"/>
                <w:color w:val="000000"/>
                <w:sz w:val="18"/>
                <w:szCs w:val="18"/>
              </w:rPr>
            </w:pPr>
            <w:r>
              <w:rPr>
                <w:rFonts w:ascii="Arial Narrow" w:hAnsi="Arial Narrow"/>
                <w:color w:val="000000"/>
                <w:sz w:val="18"/>
                <w:szCs w:val="18"/>
              </w:rPr>
              <w:t>135,7</w:t>
            </w:r>
          </w:p>
        </w:tc>
      </w:tr>
      <w:tr w:rsidR="00D5536E" w:rsidTr="00D43079">
        <w:trPr>
          <w:trHeight w:val="255"/>
        </w:trPr>
        <w:tc>
          <w:tcPr>
            <w:tcW w:w="882" w:type="pct"/>
            <w:tcBorders>
              <w:top w:val="nil"/>
              <w:left w:val="nil"/>
              <w:bottom w:val="single" w:sz="4" w:space="0" w:color="auto"/>
              <w:right w:val="nil"/>
            </w:tcBorders>
            <w:shd w:val="clear" w:color="000000" w:fill="C9321F"/>
            <w:vAlign w:val="center"/>
            <w:hideMark/>
          </w:tcPr>
          <w:p w:rsidR="002174A0" w:rsidRDefault="002174A0" w:rsidP="00D43079">
            <w:pPr>
              <w:spacing w:before="40" w:after="20"/>
              <w:rPr>
                <w:rFonts w:ascii="Arial Narrow" w:hAnsi="Arial Narrow"/>
                <w:b/>
                <w:bCs/>
                <w:color w:val="FFFFFF"/>
                <w:sz w:val="18"/>
                <w:szCs w:val="18"/>
              </w:rPr>
            </w:pPr>
            <w:r>
              <w:rPr>
                <w:rFonts w:ascii="Arial Narrow" w:hAnsi="Arial Narrow"/>
                <w:b/>
                <w:bCs/>
                <w:color w:val="FFFFFF"/>
                <w:sz w:val="18"/>
                <w:szCs w:val="18"/>
              </w:rPr>
              <w:t>BASILICATA</w:t>
            </w:r>
          </w:p>
        </w:tc>
        <w:tc>
          <w:tcPr>
            <w:tcW w:w="550" w:type="pct"/>
            <w:tcBorders>
              <w:top w:val="nil"/>
              <w:left w:val="nil"/>
              <w:bottom w:val="single" w:sz="4" w:space="0" w:color="auto"/>
              <w:right w:val="nil"/>
            </w:tcBorders>
            <w:shd w:val="clear" w:color="000000" w:fill="C9321F"/>
            <w:tcMar>
              <w:right w:w="28" w:type="dxa"/>
            </w:tcMar>
            <w:vAlign w:val="center"/>
            <w:hideMark/>
          </w:tcPr>
          <w:p w:rsidR="002174A0" w:rsidRDefault="002174A0" w:rsidP="00D43079">
            <w:pPr>
              <w:spacing w:before="40" w:after="20"/>
              <w:jc w:val="right"/>
              <w:rPr>
                <w:rFonts w:ascii="Arial Narrow" w:hAnsi="Arial Narrow"/>
                <w:b/>
                <w:bCs/>
                <w:color w:val="FFFFFF"/>
                <w:sz w:val="18"/>
                <w:szCs w:val="18"/>
              </w:rPr>
            </w:pPr>
            <w:r>
              <w:rPr>
                <w:rFonts w:ascii="Arial Narrow" w:hAnsi="Arial Narrow"/>
                <w:b/>
                <w:bCs/>
                <w:color w:val="FFFFFF"/>
                <w:sz w:val="18"/>
                <w:szCs w:val="18"/>
              </w:rPr>
              <w:t>96,8</w:t>
            </w:r>
          </w:p>
        </w:tc>
        <w:tc>
          <w:tcPr>
            <w:tcW w:w="550" w:type="pct"/>
            <w:tcBorders>
              <w:top w:val="nil"/>
              <w:left w:val="nil"/>
              <w:bottom w:val="single" w:sz="4" w:space="0" w:color="auto"/>
              <w:right w:val="nil"/>
            </w:tcBorders>
            <w:shd w:val="clear" w:color="000000" w:fill="C9321F"/>
            <w:tcMar>
              <w:right w:w="28" w:type="dxa"/>
            </w:tcMar>
            <w:vAlign w:val="center"/>
            <w:hideMark/>
          </w:tcPr>
          <w:p w:rsidR="002174A0" w:rsidRDefault="002174A0" w:rsidP="00D43079">
            <w:pPr>
              <w:spacing w:before="40" w:after="20"/>
              <w:jc w:val="right"/>
              <w:rPr>
                <w:rFonts w:ascii="Arial Narrow" w:hAnsi="Arial Narrow"/>
                <w:b/>
                <w:bCs/>
                <w:color w:val="FFFFFF"/>
                <w:sz w:val="18"/>
                <w:szCs w:val="18"/>
              </w:rPr>
            </w:pPr>
            <w:r>
              <w:rPr>
                <w:rFonts w:ascii="Arial Narrow" w:hAnsi="Arial Narrow"/>
                <w:b/>
                <w:bCs/>
                <w:color w:val="FFFFFF"/>
                <w:sz w:val="18"/>
                <w:szCs w:val="18"/>
              </w:rPr>
              <w:t>45,7</w:t>
            </w:r>
          </w:p>
        </w:tc>
        <w:tc>
          <w:tcPr>
            <w:tcW w:w="550" w:type="pct"/>
            <w:tcBorders>
              <w:top w:val="nil"/>
              <w:left w:val="nil"/>
              <w:bottom w:val="single" w:sz="4" w:space="0" w:color="auto"/>
              <w:right w:val="nil"/>
            </w:tcBorders>
            <w:shd w:val="clear" w:color="000000" w:fill="C9321F"/>
            <w:tcMar>
              <w:right w:w="28" w:type="dxa"/>
            </w:tcMar>
            <w:vAlign w:val="center"/>
            <w:hideMark/>
          </w:tcPr>
          <w:p w:rsidR="002174A0" w:rsidRDefault="002174A0" w:rsidP="00D43079">
            <w:pPr>
              <w:spacing w:before="40" w:after="20"/>
              <w:jc w:val="right"/>
              <w:rPr>
                <w:rFonts w:ascii="Arial Narrow" w:hAnsi="Arial Narrow"/>
                <w:b/>
                <w:bCs/>
                <w:color w:val="FFFFFF"/>
                <w:sz w:val="18"/>
                <w:szCs w:val="18"/>
              </w:rPr>
            </w:pPr>
            <w:r>
              <w:rPr>
                <w:rFonts w:ascii="Arial Narrow" w:hAnsi="Arial Narrow"/>
                <w:b/>
                <w:bCs/>
                <w:color w:val="FFFFFF"/>
                <w:sz w:val="18"/>
                <w:szCs w:val="18"/>
              </w:rPr>
              <w:t>200,8</w:t>
            </w:r>
          </w:p>
        </w:tc>
        <w:tc>
          <w:tcPr>
            <w:tcW w:w="550" w:type="pct"/>
            <w:tcBorders>
              <w:top w:val="nil"/>
              <w:left w:val="nil"/>
              <w:bottom w:val="single" w:sz="4" w:space="0" w:color="auto"/>
              <w:right w:val="nil"/>
            </w:tcBorders>
            <w:shd w:val="clear" w:color="000000" w:fill="C9321F"/>
            <w:tcMar>
              <w:right w:w="28" w:type="dxa"/>
            </w:tcMar>
            <w:vAlign w:val="center"/>
            <w:hideMark/>
          </w:tcPr>
          <w:p w:rsidR="002174A0" w:rsidRDefault="002174A0" w:rsidP="00D43079">
            <w:pPr>
              <w:spacing w:before="40" w:after="20"/>
              <w:jc w:val="right"/>
              <w:rPr>
                <w:rFonts w:ascii="Arial Narrow" w:hAnsi="Arial Narrow"/>
                <w:b/>
                <w:bCs/>
                <w:color w:val="FFFFFF"/>
                <w:sz w:val="18"/>
                <w:szCs w:val="18"/>
              </w:rPr>
            </w:pPr>
            <w:r>
              <w:rPr>
                <w:rFonts w:ascii="Arial Narrow" w:hAnsi="Arial Narrow"/>
                <w:b/>
                <w:bCs/>
                <w:color w:val="FFFFFF"/>
                <w:sz w:val="18"/>
                <w:szCs w:val="18"/>
              </w:rPr>
              <w:t>54,3</w:t>
            </w:r>
          </w:p>
        </w:tc>
        <w:tc>
          <w:tcPr>
            <w:tcW w:w="809" w:type="pct"/>
            <w:tcBorders>
              <w:top w:val="nil"/>
              <w:left w:val="nil"/>
              <w:bottom w:val="single" w:sz="4" w:space="0" w:color="auto"/>
              <w:right w:val="nil"/>
            </w:tcBorders>
            <w:shd w:val="clear" w:color="000000" w:fill="C9321F"/>
            <w:tcMar>
              <w:right w:w="28" w:type="dxa"/>
            </w:tcMar>
            <w:vAlign w:val="center"/>
            <w:hideMark/>
          </w:tcPr>
          <w:p w:rsidR="002174A0" w:rsidRDefault="002174A0" w:rsidP="00D43079">
            <w:pPr>
              <w:spacing w:before="40" w:after="20"/>
              <w:jc w:val="right"/>
              <w:rPr>
                <w:rFonts w:ascii="Arial Narrow" w:hAnsi="Arial Narrow"/>
                <w:b/>
                <w:bCs/>
                <w:color w:val="FFFFFF"/>
                <w:sz w:val="18"/>
                <w:szCs w:val="18"/>
              </w:rPr>
            </w:pPr>
            <w:r>
              <w:rPr>
                <w:rFonts w:ascii="Arial Narrow" w:hAnsi="Arial Narrow"/>
                <w:b/>
                <w:bCs/>
                <w:color w:val="FFFFFF"/>
                <w:sz w:val="18"/>
                <w:szCs w:val="18"/>
              </w:rPr>
              <w:t>36,3</w:t>
            </w:r>
          </w:p>
        </w:tc>
        <w:tc>
          <w:tcPr>
            <w:tcW w:w="808" w:type="pct"/>
            <w:tcBorders>
              <w:top w:val="nil"/>
              <w:left w:val="nil"/>
              <w:bottom w:val="single" w:sz="4" w:space="0" w:color="auto"/>
              <w:right w:val="nil"/>
            </w:tcBorders>
            <w:shd w:val="clear" w:color="000000" w:fill="C9321F"/>
            <w:tcMar>
              <w:right w:w="28" w:type="dxa"/>
            </w:tcMar>
            <w:vAlign w:val="center"/>
            <w:hideMark/>
          </w:tcPr>
          <w:p w:rsidR="002174A0" w:rsidRDefault="002174A0" w:rsidP="00D43079">
            <w:pPr>
              <w:spacing w:before="40" w:after="20"/>
              <w:jc w:val="right"/>
              <w:rPr>
                <w:rFonts w:ascii="Arial Narrow" w:hAnsi="Arial Narrow"/>
                <w:b/>
                <w:bCs/>
                <w:color w:val="FFFFFF"/>
                <w:sz w:val="18"/>
                <w:szCs w:val="18"/>
              </w:rPr>
            </w:pPr>
            <w:r>
              <w:rPr>
                <w:rFonts w:ascii="Arial Narrow" w:hAnsi="Arial Narrow"/>
                <w:b/>
                <w:bCs/>
                <w:color w:val="FFFFFF"/>
                <w:sz w:val="18"/>
                <w:szCs w:val="18"/>
              </w:rPr>
              <w:t>133,3</w:t>
            </w:r>
          </w:p>
        </w:tc>
      </w:tr>
    </w:tbl>
    <w:p w:rsidR="00946F5C" w:rsidRPr="00710C34" w:rsidRDefault="00946F5C" w:rsidP="00E31467">
      <w:pPr>
        <w:keepNext/>
        <w:keepLines/>
        <w:spacing w:before="360" w:after="60"/>
        <w:jc w:val="both"/>
        <w:rPr>
          <w:rFonts w:ascii="Arial Narrow" w:hAnsi="Arial Narrow"/>
          <w:color w:val="595959" w:themeColor="text1" w:themeTint="A6"/>
          <w:sz w:val="22"/>
          <w:szCs w:val="22"/>
        </w:rPr>
      </w:pPr>
      <w:r w:rsidRPr="00710C34">
        <w:rPr>
          <w:rFonts w:ascii="Arial Narrow" w:hAnsi="Arial Narrow"/>
          <w:b/>
          <w:bCs/>
          <w:color w:val="595959" w:themeColor="text1" w:themeTint="A6"/>
          <w:sz w:val="22"/>
          <w:szCs w:val="22"/>
        </w:rPr>
        <w:lastRenderedPageBreak/>
        <w:t xml:space="preserve">PROSPETTO 5. </w:t>
      </w:r>
      <w:r w:rsidRPr="00710C34">
        <w:rPr>
          <w:rFonts w:ascii="Arial Narrow" w:hAnsi="Arial Narrow"/>
          <w:color w:val="595959" w:themeColor="text1" w:themeTint="A6"/>
          <w:sz w:val="22"/>
          <w:szCs w:val="22"/>
        </w:rPr>
        <w:t xml:space="preserve">COMUNI CON PARTICOLARI CARATTERISTICHE AL CENSIMENTO 2019 </w:t>
      </w:r>
    </w:p>
    <w:tbl>
      <w:tblPr>
        <w:tblW w:w="5000" w:type="pct"/>
        <w:tblBorders>
          <w:top w:val="single" w:sz="4" w:space="0" w:color="auto"/>
          <w:bottom w:val="single" w:sz="4" w:space="0" w:color="auto"/>
          <w:insideH w:val="single" w:sz="4" w:space="0" w:color="auto"/>
        </w:tblBorders>
        <w:tblCellMar>
          <w:left w:w="70" w:type="dxa"/>
          <w:right w:w="70" w:type="dxa"/>
        </w:tblCellMar>
        <w:tblLook w:val="04A0"/>
      </w:tblPr>
      <w:tblGrid>
        <w:gridCol w:w="2325"/>
        <w:gridCol w:w="1864"/>
        <w:gridCol w:w="686"/>
        <w:gridCol w:w="2325"/>
        <w:gridCol w:w="1864"/>
        <w:gridCol w:w="714"/>
      </w:tblGrid>
      <w:tr w:rsidR="008301C7" w:rsidTr="00D43079">
        <w:trPr>
          <w:trHeight w:val="255"/>
        </w:trPr>
        <w:tc>
          <w:tcPr>
            <w:tcW w:w="1189" w:type="pct"/>
            <w:vMerge w:val="restart"/>
            <w:shd w:val="clear" w:color="auto" w:fill="auto"/>
            <w:noWrap/>
            <w:vAlign w:val="center"/>
            <w:hideMark/>
          </w:tcPr>
          <w:p w:rsidR="008301C7" w:rsidRPr="00ED356C" w:rsidRDefault="008301C7" w:rsidP="00D43079">
            <w:pPr>
              <w:keepNext/>
              <w:keepLines/>
              <w:spacing w:before="40" w:after="20"/>
              <w:jc w:val="center"/>
              <w:rPr>
                <w:rFonts w:ascii="Arial Narrow" w:hAnsi="Arial Narrow" w:cs="Calibri"/>
                <w:b/>
                <w:bCs/>
                <w:color w:val="000000" w:themeColor="text1"/>
                <w:sz w:val="18"/>
                <w:szCs w:val="18"/>
              </w:rPr>
            </w:pPr>
            <w:r w:rsidRPr="00ED356C">
              <w:rPr>
                <w:rFonts w:ascii="Arial Narrow" w:hAnsi="Arial Narrow" w:cs="Calibri"/>
                <w:b/>
                <w:bCs/>
                <w:color w:val="000000" w:themeColor="text1"/>
                <w:sz w:val="18"/>
                <w:szCs w:val="18"/>
              </w:rPr>
              <w:t>Caratteristica del comune</w:t>
            </w:r>
          </w:p>
        </w:tc>
        <w:tc>
          <w:tcPr>
            <w:tcW w:w="1304" w:type="pct"/>
            <w:gridSpan w:val="2"/>
            <w:shd w:val="clear" w:color="000000" w:fill="D9D9D9"/>
            <w:noWrap/>
            <w:vAlign w:val="center"/>
            <w:hideMark/>
          </w:tcPr>
          <w:p w:rsidR="008301C7" w:rsidRPr="00ED356C" w:rsidRDefault="008301C7" w:rsidP="00D43079">
            <w:pPr>
              <w:keepNext/>
              <w:keepLines/>
              <w:spacing w:before="40" w:after="20"/>
              <w:jc w:val="center"/>
              <w:rPr>
                <w:rFonts w:ascii="Arial Narrow" w:hAnsi="Arial Narrow" w:cs="Calibri"/>
                <w:b/>
                <w:bCs/>
                <w:color w:val="000000" w:themeColor="text1"/>
                <w:sz w:val="18"/>
                <w:szCs w:val="18"/>
              </w:rPr>
            </w:pPr>
            <w:r w:rsidRPr="00ED356C">
              <w:rPr>
                <w:rFonts w:ascii="Arial Narrow" w:hAnsi="Arial Narrow" w:cs="Calibri"/>
                <w:b/>
                <w:bCs/>
                <w:color w:val="000000" w:themeColor="text1"/>
                <w:sz w:val="18"/>
                <w:szCs w:val="18"/>
              </w:rPr>
              <w:t>Basilicata</w:t>
            </w:r>
          </w:p>
        </w:tc>
        <w:tc>
          <w:tcPr>
            <w:tcW w:w="1189" w:type="pct"/>
            <w:vMerge w:val="restart"/>
            <w:shd w:val="clear" w:color="auto" w:fill="auto"/>
            <w:noWrap/>
            <w:vAlign w:val="center"/>
            <w:hideMark/>
          </w:tcPr>
          <w:p w:rsidR="008301C7" w:rsidRPr="00ED356C" w:rsidRDefault="008301C7" w:rsidP="00D43079">
            <w:pPr>
              <w:keepNext/>
              <w:keepLines/>
              <w:spacing w:before="40" w:after="20"/>
              <w:jc w:val="center"/>
              <w:rPr>
                <w:rFonts w:ascii="Arial Narrow" w:hAnsi="Arial Narrow" w:cs="Calibri"/>
                <w:b/>
                <w:bCs/>
                <w:color w:val="000000" w:themeColor="text1"/>
                <w:sz w:val="18"/>
                <w:szCs w:val="18"/>
              </w:rPr>
            </w:pPr>
            <w:r w:rsidRPr="00ED356C">
              <w:rPr>
                <w:rFonts w:ascii="Arial Narrow" w:hAnsi="Arial Narrow" w:cs="Calibri"/>
                <w:b/>
                <w:bCs/>
                <w:color w:val="000000" w:themeColor="text1"/>
                <w:sz w:val="18"/>
                <w:szCs w:val="18"/>
              </w:rPr>
              <w:t>Caratteristica del comune</w:t>
            </w:r>
          </w:p>
        </w:tc>
        <w:tc>
          <w:tcPr>
            <w:tcW w:w="1318" w:type="pct"/>
            <w:gridSpan w:val="2"/>
            <w:shd w:val="clear" w:color="000000" w:fill="D9D9D9"/>
            <w:noWrap/>
            <w:vAlign w:val="center"/>
            <w:hideMark/>
          </w:tcPr>
          <w:p w:rsidR="008301C7" w:rsidRPr="00ED356C" w:rsidRDefault="008301C7" w:rsidP="00D43079">
            <w:pPr>
              <w:keepNext/>
              <w:keepLines/>
              <w:spacing w:before="40" w:after="20"/>
              <w:jc w:val="center"/>
              <w:rPr>
                <w:rFonts w:ascii="Arial Narrow" w:hAnsi="Arial Narrow" w:cs="Calibri"/>
                <w:b/>
                <w:bCs/>
                <w:color w:val="000000" w:themeColor="text1"/>
                <w:sz w:val="18"/>
                <w:szCs w:val="18"/>
              </w:rPr>
            </w:pPr>
            <w:r w:rsidRPr="00ED356C">
              <w:rPr>
                <w:rFonts w:ascii="Arial Narrow" w:hAnsi="Arial Narrow" w:cs="Calibri"/>
                <w:b/>
                <w:bCs/>
                <w:color w:val="000000" w:themeColor="text1"/>
                <w:sz w:val="18"/>
                <w:szCs w:val="18"/>
              </w:rPr>
              <w:t>Basilicata</w:t>
            </w:r>
          </w:p>
        </w:tc>
      </w:tr>
      <w:tr w:rsidR="008301C7" w:rsidTr="00D43079">
        <w:trPr>
          <w:trHeight w:val="255"/>
        </w:trPr>
        <w:tc>
          <w:tcPr>
            <w:tcW w:w="1189" w:type="pct"/>
            <w:vMerge/>
            <w:vAlign w:val="center"/>
            <w:hideMark/>
          </w:tcPr>
          <w:p w:rsidR="008301C7" w:rsidRPr="00ED356C" w:rsidRDefault="008301C7" w:rsidP="00D43079">
            <w:pPr>
              <w:keepNext/>
              <w:keepLines/>
              <w:spacing w:before="40" w:after="20"/>
              <w:rPr>
                <w:rFonts w:ascii="Arial Narrow" w:hAnsi="Arial Narrow" w:cs="Calibri"/>
                <w:b/>
                <w:bCs/>
                <w:color w:val="000000" w:themeColor="text1"/>
                <w:sz w:val="18"/>
                <w:szCs w:val="18"/>
              </w:rPr>
            </w:pPr>
          </w:p>
        </w:tc>
        <w:tc>
          <w:tcPr>
            <w:tcW w:w="953" w:type="pct"/>
            <w:shd w:val="clear" w:color="auto" w:fill="auto"/>
            <w:noWrap/>
            <w:vAlign w:val="center"/>
            <w:hideMark/>
          </w:tcPr>
          <w:p w:rsidR="008301C7" w:rsidRPr="00ED356C" w:rsidRDefault="008301C7" w:rsidP="00D43079">
            <w:pPr>
              <w:keepNext/>
              <w:keepLines/>
              <w:spacing w:before="40" w:after="20"/>
              <w:jc w:val="both"/>
              <w:rPr>
                <w:rFonts w:ascii="Arial Narrow" w:hAnsi="Arial Narrow" w:cs="Calibri"/>
                <w:b/>
                <w:bCs/>
                <w:color w:val="000000" w:themeColor="text1"/>
                <w:sz w:val="18"/>
                <w:szCs w:val="18"/>
              </w:rPr>
            </w:pPr>
            <w:r w:rsidRPr="00ED356C">
              <w:rPr>
                <w:rFonts w:ascii="Arial Narrow" w:hAnsi="Arial Narrow" w:cs="Calibri"/>
                <w:b/>
                <w:bCs/>
                <w:color w:val="000000" w:themeColor="text1"/>
                <w:sz w:val="18"/>
                <w:szCs w:val="18"/>
              </w:rPr>
              <w:t>Comune</w:t>
            </w:r>
          </w:p>
        </w:tc>
        <w:tc>
          <w:tcPr>
            <w:tcW w:w="351" w:type="pct"/>
            <w:shd w:val="clear" w:color="auto" w:fill="auto"/>
            <w:noWrap/>
            <w:vAlign w:val="center"/>
            <w:hideMark/>
          </w:tcPr>
          <w:p w:rsidR="008301C7" w:rsidRPr="00ED356C" w:rsidRDefault="008301C7" w:rsidP="00D43079">
            <w:pPr>
              <w:keepNext/>
              <w:keepLines/>
              <w:spacing w:before="40" w:after="20"/>
              <w:jc w:val="right"/>
              <w:rPr>
                <w:rFonts w:ascii="Arial Narrow" w:hAnsi="Arial Narrow" w:cs="Calibri"/>
                <w:b/>
                <w:bCs/>
                <w:color w:val="000000" w:themeColor="text1"/>
                <w:sz w:val="18"/>
                <w:szCs w:val="18"/>
              </w:rPr>
            </w:pPr>
            <w:r w:rsidRPr="00ED356C">
              <w:rPr>
                <w:rFonts w:ascii="Arial Narrow" w:hAnsi="Arial Narrow" w:cs="Calibri"/>
                <w:b/>
                <w:bCs/>
                <w:color w:val="000000" w:themeColor="text1"/>
                <w:sz w:val="18"/>
                <w:szCs w:val="18"/>
              </w:rPr>
              <w:t>Valori</w:t>
            </w:r>
          </w:p>
        </w:tc>
        <w:tc>
          <w:tcPr>
            <w:tcW w:w="1189" w:type="pct"/>
            <w:vMerge/>
            <w:vAlign w:val="center"/>
            <w:hideMark/>
          </w:tcPr>
          <w:p w:rsidR="008301C7" w:rsidRPr="00ED356C" w:rsidRDefault="008301C7" w:rsidP="00D43079">
            <w:pPr>
              <w:keepNext/>
              <w:keepLines/>
              <w:spacing w:before="40" w:after="20"/>
              <w:rPr>
                <w:rFonts w:ascii="Arial Narrow" w:hAnsi="Arial Narrow" w:cs="Calibri"/>
                <w:b/>
                <w:bCs/>
                <w:color w:val="000000" w:themeColor="text1"/>
                <w:sz w:val="18"/>
                <w:szCs w:val="18"/>
              </w:rPr>
            </w:pPr>
          </w:p>
        </w:tc>
        <w:tc>
          <w:tcPr>
            <w:tcW w:w="953" w:type="pct"/>
            <w:shd w:val="clear" w:color="auto" w:fill="auto"/>
            <w:noWrap/>
            <w:vAlign w:val="center"/>
            <w:hideMark/>
          </w:tcPr>
          <w:p w:rsidR="008301C7" w:rsidRPr="00ED356C" w:rsidRDefault="008301C7" w:rsidP="00D43079">
            <w:pPr>
              <w:keepNext/>
              <w:keepLines/>
              <w:spacing w:before="40" w:after="20"/>
              <w:jc w:val="both"/>
              <w:rPr>
                <w:rFonts w:ascii="Arial Narrow" w:hAnsi="Arial Narrow" w:cs="Calibri"/>
                <w:b/>
                <w:bCs/>
                <w:color w:val="000000" w:themeColor="text1"/>
                <w:sz w:val="18"/>
                <w:szCs w:val="18"/>
              </w:rPr>
            </w:pPr>
            <w:r w:rsidRPr="00ED356C">
              <w:rPr>
                <w:rFonts w:ascii="Arial Narrow" w:hAnsi="Arial Narrow" w:cs="Calibri"/>
                <w:b/>
                <w:bCs/>
                <w:color w:val="000000" w:themeColor="text1"/>
                <w:sz w:val="18"/>
                <w:szCs w:val="18"/>
              </w:rPr>
              <w:t>Comune</w:t>
            </w:r>
          </w:p>
        </w:tc>
        <w:tc>
          <w:tcPr>
            <w:tcW w:w="365" w:type="pct"/>
            <w:shd w:val="clear" w:color="auto" w:fill="auto"/>
            <w:noWrap/>
            <w:vAlign w:val="center"/>
            <w:hideMark/>
          </w:tcPr>
          <w:p w:rsidR="008301C7" w:rsidRPr="00ED356C" w:rsidRDefault="008301C7" w:rsidP="00D43079">
            <w:pPr>
              <w:keepNext/>
              <w:keepLines/>
              <w:spacing w:before="40" w:after="20"/>
              <w:jc w:val="right"/>
              <w:rPr>
                <w:rFonts w:ascii="Arial Narrow" w:hAnsi="Arial Narrow" w:cs="Calibri"/>
                <w:b/>
                <w:bCs/>
                <w:color w:val="000000" w:themeColor="text1"/>
                <w:sz w:val="18"/>
                <w:szCs w:val="18"/>
              </w:rPr>
            </w:pPr>
            <w:r w:rsidRPr="00ED356C">
              <w:rPr>
                <w:rFonts w:ascii="Arial Narrow" w:hAnsi="Arial Narrow" w:cs="Calibri"/>
                <w:b/>
                <w:bCs/>
                <w:color w:val="000000" w:themeColor="text1"/>
                <w:sz w:val="18"/>
                <w:szCs w:val="18"/>
              </w:rPr>
              <w:t>Valori</w:t>
            </w:r>
          </w:p>
        </w:tc>
      </w:tr>
      <w:tr w:rsidR="008301C7" w:rsidTr="00D43079">
        <w:trPr>
          <w:trHeight w:val="255"/>
        </w:trPr>
        <w:tc>
          <w:tcPr>
            <w:tcW w:w="1189" w:type="pct"/>
            <w:shd w:val="clear" w:color="000000" w:fill="FFFFFF"/>
            <w:vAlign w:val="center"/>
            <w:hideMark/>
          </w:tcPr>
          <w:p w:rsidR="008301C7" w:rsidRPr="00ED356C" w:rsidRDefault="008301C7" w:rsidP="00D43079">
            <w:pPr>
              <w:keepNext/>
              <w:keepLines/>
              <w:spacing w:before="40" w:after="20"/>
              <w:rPr>
                <w:rFonts w:ascii="Arial Narrow" w:hAnsi="Arial Narrow" w:cs="Calibri"/>
                <w:color w:val="000000" w:themeColor="text1"/>
                <w:sz w:val="18"/>
                <w:szCs w:val="18"/>
              </w:rPr>
            </w:pPr>
            <w:r w:rsidRPr="00ED356C">
              <w:rPr>
                <w:rFonts w:ascii="Arial Narrow" w:hAnsi="Arial Narrow" w:cs="Calibri"/>
                <w:color w:val="000000" w:themeColor="text1"/>
                <w:sz w:val="18"/>
                <w:szCs w:val="18"/>
              </w:rPr>
              <w:t>Comune più piccolo (residenti)</w:t>
            </w:r>
          </w:p>
        </w:tc>
        <w:tc>
          <w:tcPr>
            <w:tcW w:w="953" w:type="pct"/>
            <w:shd w:val="clear" w:color="000000" w:fill="D9D9D9"/>
            <w:vAlign w:val="center"/>
            <w:hideMark/>
          </w:tcPr>
          <w:p w:rsidR="008301C7" w:rsidRPr="00ED356C" w:rsidRDefault="008301C7" w:rsidP="00D43079">
            <w:pPr>
              <w:keepNext/>
              <w:keepLines/>
              <w:spacing w:before="40" w:after="20"/>
              <w:rPr>
                <w:rFonts w:ascii="Arial Narrow" w:hAnsi="Arial Narrow" w:cs="Calibri"/>
                <w:color w:val="000000" w:themeColor="text1"/>
                <w:sz w:val="18"/>
                <w:szCs w:val="18"/>
              </w:rPr>
            </w:pPr>
            <w:r w:rsidRPr="00ED356C">
              <w:rPr>
                <w:rFonts w:ascii="Arial Narrow" w:hAnsi="Arial Narrow" w:cs="Calibri"/>
                <w:color w:val="000000" w:themeColor="text1"/>
                <w:sz w:val="18"/>
                <w:szCs w:val="18"/>
              </w:rPr>
              <w:t>San Paolo Albanese (PZ)</w:t>
            </w:r>
          </w:p>
        </w:tc>
        <w:tc>
          <w:tcPr>
            <w:tcW w:w="351" w:type="pct"/>
            <w:shd w:val="clear" w:color="000000" w:fill="FFFFFF"/>
            <w:vAlign w:val="center"/>
            <w:hideMark/>
          </w:tcPr>
          <w:p w:rsidR="008301C7" w:rsidRPr="00ED356C" w:rsidRDefault="008301C7" w:rsidP="00D43079">
            <w:pPr>
              <w:keepNext/>
              <w:keepLines/>
              <w:spacing w:before="40" w:after="20"/>
              <w:jc w:val="right"/>
              <w:rPr>
                <w:rFonts w:ascii="Arial Narrow" w:hAnsi="Arial Narrow" w:cs="Calibri"/>
                <w:color w:val="000000" w:themeColor="text1"/>
                <w:sz w:val="18"/>
                <w:szCs w:val="18"/>
              </w:rPr>
            </w:pPr>
            <w:r w:rsidRPr="00ED356C">
              <w:rPr>
                <w:rFonts w:ascii="Arial Narrow" w:hAnsi="Arial Narrow" w:cs="Calibri"/>
                <w:color w:val="000000" w:themeColor="text1"/>
                <w:sz w:val="18"/>
                <w:szCs w:val="18"/>
              </w:rPr>
              <w:t xml:space="preserve">229 </w:t>
            </w:r>
          </w:p>
        </w:tc>
        <w:tc>
          <w:tcPr>
            <w:tcW w:w="1189" w:type="pct"/>
            <w:shd w:val="clear" w:color="000000" w:fill="D9D9D9"/>
            <w:vAlign w:val="center"/>
            <w:hideMark/>
          </w:tcPr>
          <w:p w:rsidR="008301C7" w:rsidRPr="00ED356C" w:rsidRDefault="008301C7" w:rsidP="00D43079">
            <w:pPr>
              <w:keepNext/>
              <w:keepLines/>
              <w:spacing w:before="40" w:after="20"/>
              <w:rPr>
                <w:rFonts w:ascii="Arial Narrow" w:hAnsi="Arial Narrow" w:cs="Calibri"/>
                <w:color w:val="000000" w:themeColor="text1"/>
                <w:sz w:val="18"/>
                <w:szCs w:val="18"/>
              </w:rPr>
            </w:pPr>
            <w:r w:rsidRPr="00ED356C">
              <w:rPr>
                <w:rFonts w:ascii="Arial Narrow" w:hAnsi="Arial Narrow" w:cs="Calibri"/>
                <w:color w:val="000000" w:themeColor="text1"/>
                <w:sz w:val="18"/>
                <w:szCs w:val="18"/>
              </w:rPr>
              <w:t>Comune più grande (residenti)</w:t>
            </w:r>
          </w:p>
        </w:tc>
        <w:tc>
          <w:tcPr>
            <w:tcW w:w="953" w:type="pct"/>
            <w:shd w:val="clear" w:color="000000" w:fill="FFFFFF"/>
            <w:vAlign w:val="center"/>
            <w:hideMark/>
          </w:tcPr>
          <w:p w:rsidR="008301C7" w:rsidRPr="00ED356C" w:rsidRDefault="008301C7" w:rsidP="00D43079">
            <w:pPr>
              <w:keepNext/>
              <w:keepLines/>
              <w:spacing w:before="40" w:after="20"/>
              <w:rPr>
                <w:rFonts w:ascii="Arial Narrow" w:hAnsi="Arial Narrow" w:cs="Calibri"/>
                <w:color w:val="000000" w:themeColor="text1"/>
                <w:sz w:val="18"/>
                <w:szCs w:val="18"/>
              </w:rPr>
            </w:pPr>
            <w:r w:rsidRPr="00ED356C">
              <w:rPr>
                <w:rFonts w:ascii="Arial Narrow" w:hAnsi="Arial Narrow" w:cs="Calibri"/>
                <w:color w:val="000000" w:themeColor="text1"/>
                <w:sz w:val="18"/>
                <w:szCs w:val="18"/>
              </w:rPr>
              <w:t>Potenza (PZ)</w:t>
            </w:r>
          </w:p>
        </w:tc>
        <w:tc>
          <w:tcPr>
            <w:tcW w:w="365" w:type="pct"/>
            <w:shd w:val="clear" w:color="000000" w:fill="D9D9D9"/>
            <w:vAlign w:val="center"/>
            <w:hideMark/>
          </w:tcPr>
          <w:p w:rsidR="008301C7" w:rsidRPr="00ED356C" w:rsidRDefault="008301C7" w:rsidP="00D43079">
            <w:pPr>
              <w:keepNext/>
              <w:keepLines/>
              <w:spacing w:before="40" w:after="20"/>
              <w:jc w:val="right"/>
              <w:rPr>
                <w:rFonts w:ascii="Arial Narrow" w:hAnsi="Arial Narrow" w:cs="Calibri"/>
                <w:color w:val="000000" w:themeColor="text1"/>
                <w:sz w:val="18"/>
                <w:szCs w:val="18"/>
              </w:rPr>
            </w:pPr>
            <w:r w:rsidRPr="00ED356C">
              <w:rPr>
                <w:rFonts w:ascii="Arial Narrow" w:hAnsi="Arial Narrow" w:cs="Calibri"/>
                <w:color w:val="000000" w:themeColor="text1"/>
                <w:sz w:val="18"/>
                <w:szCs w:val="18"/>
              </w:rPr>
              <w:t xml:space="preserve">66.393 </w:t>
            </w:r>
          </w:p>
        </w:tc>
      </w:tr>
      <w:tr w:rsidR="008301C7" w:rsidTr="00D43079">
        <w:trPr>
          <w:trHeight w:val="255"/>
        </w:trPr>
        <w:tc>
          <w:tcPr>
            <w:tcW w:w="1189" w:type="pct"/>
            <w:shd w:val="clear" w:color="000000" w:fill="FFFFFF"/>
            <w:vAlign w:val="center"/>
            <w:hideMark/>
          </w:tcPr>
          <w:p w:rsidR="008301C7" w:rsidRPr="00ED356C" w:rsidRDefault="008301C7" w:rsidP="00D43079">
            <w:pPr>
              <w:spacing w:before="40" w:after="20"/>
              <w:rPr>
                <w:rFonts w:ascii="Arial Narrow" w:hAnsi="Arial Narrow" w:cs="Calibri"/>
                <w:color w:val="000000" w:themeColor="text1"/>
                <w:sz w:val="18"/>
                <w:szCs w:val="18"/>
              </w:rPr>
            </w:pPr>
            <w:r w:rsidRPr="00ED356C">
              <w:rPr>
                <w:rFonts w:ascii="Arial Narrow" w:hAnsi="Arial Narrow" w:cs="Calibri"/>
                <w:color w:val="000000" w:themeColor="text1"/>
                <w:sz w:val="18"/>
                <w:szCs w:val="18"/>
              </w:rPr>
              <w:t>Comune più giovane (età media)</w:t>
            </w:r>
          </w:p>
        </w:tc>
        <w:tc>
          <w:tcPr>
            <w:tcW w:w="953" w:type="pct"/>
            <w:shd w:val="clear" w:color="000000" w:fill="D9D9D9"/>
            <w:vAlign w:val="center"/>
            <w:hideMark/>
          </w:tcPr>
          <w:p w:rsidR="008301C7" w:rsidRPr="00ED356C" w:rsidRDefault="008301C7" w:rsidP="00D43079">
            <w:pPr>
              <w:spacing w:before="40" w:after="20"/>
              <w:rPr>
                <w:rFonts w:ascii="Arial Narrow" w:hAnsi="Arial Narrow" w:cs="Calibri"/>
                <w:color w:val="000000" w:themeColor="text1"/>
                <w:sz w:val="18"/>
                <w:szCs w:val="18"/>
              </w:rPr>
            </w:pPr>
            <w:r w:rsidRPr="00ED356C">
              <w:rPr>
                <w:rFonts w:ascii="Arial Narrow" w:hAnsi="Arial Narrow" w:cs="Calibri"/>
                <w:color w:val="000000" w:themeColor="text1"/>
                <w:sz w:val="18"/>
                <w:szCs w:val="18"/>
              </w:rPr>
              <w:t>Marsicovetere (PZ)</w:t>
            </w:r>
          </w:p>
        </w:tc>
        <w:tc>
          <w:tcPr>
            <w:tcW w:w="351" w:type="pct"/>
            <w:shd w:val="clear" w:color="000000" w:fill="FFFFFF"/>
            <w:vAlign w:val="center"/>
            <w:hideMark/>
          </w:tcPr>
          <w:p w:rsidR="008301C7" w:rsidRPr="00ED356C" w:rsidRDefault="008301C7" w:rsidP="00D43079">
            <w:pPr>
              <w:spacing w:before="40" w:after="20"/>
              <w:jc w:val="right"/>
              <w:rPr>
                <w:rFonts w:ascii="Arial Narrow" w:hAnsi="Arial Narrow" w:cs="Calibri"/>
                <w:color w:val="000000" w:themeColor="text1"/>
                <w:sz w:val="18"/>
                <w:szCs w:val="18"/>
              </w:rPr>
            </w:pPr>
            <w:r w:rsidRPr="00ED356C">
              <w:rPr>
                <w:rFonts w:ascii="Arial Narrow" w:hAnsi="Arial Narrow" w:cs="Calibri"/>
                <w:color w:val="000000" w:themeColor="text1"/>
                <w:sz w:val="18"/>
                <w:szCs w:val="18"/>
              </w:rPr>
              <w:t xml:space="preserve">41,8 </w:t>
            </w:r>
          </w:p>
        </w:tc>
        <w:tc>
          <w:tcPr>
            <w:tcW w:w="1189" w:type="pct"/>
            <w:shd w:val="clear" w:color="000000" w:fill="D9D9D9"/>
            <w:vAlign w:val="center"/>
            <w:hideMark/>
          </w:tcPr>
          <w:p w:rsidR="008301C7" w:rsidRPr="00ED356C" w:rsidRDefault="008301C7" w:rsidP="00D43079">
            <w:pPr>
              <w:spacing w:before="40" w:after="20"/>
              <w:rPr>
                <w:rFonts w:ascii="Arial Narrow" w:hAnsi="Arial Narrow" w:cs="Calibri"/>
                <w:color w:val="000000" w:themeColor="text1"/>
                <w:sz w:val="18"/>
                <w:szCs w:val="18"/>
              </w:rPr>
            </w:pPr>
            <w:r w:rsidRPr="00ED356C">
              <w:rPr>
                <w:rFonts w:ascii="Arial Narrow" w:hAnsi="Arial Narrow" w:cs="Calibri"/>
                <w:color w:val="000000" w:themeColor="text1"/>
                <w:sz w:val="18"/>
                <w:szCs w:val="18"/>
              </w:rPr>
              <w:t>Comune più vecchio (età media)</w:t>
            </w:r>
          </w:p>
        </w:tc>
        <w:tc>
          <w:tcPr>
            <w:tcW w:w="953" w:type="pct"/>
            <w:shd w:val="clear" w:color="000000" w:fill="FFFFFF"/>
            <w:vAlign w:val="center"/>
            <w:hideMark/>
          </w:tcPr>
          <w:p w:rsidR="008301C7" w:rsidRPr="00ED356C" w:rsidRDefault="008301C7" w:rsidP="00D43079">
            <w:pPr>
              <w:spacing w:before="40" w:after="20"/>
              <w:rPr>
                <w:rFonts w:ascii="Arial Narrow" w:hAnsi="Arial Narrow" w:cs="Calibri"/>
                <w:color w:val="000000" w:themeColor="text1"/>
                <w:sz w:val="18"/>
                <w:szCs w:val="18"/>
              </w:rPr>
            </w:pPr>
            <w:r w:rsidRPr="00ED356C">
              <w:rPr>
                <w:rFonts w:ascii="Arial Narrow" w:hAnsi="Arial Narrow" w:cs="Calibri"/>
                <w:color w:val="000000" w:themeColor="text1"/>
                <w:sz w:val="18"/>
                <w:szCs w:val="18"/>
              </w:rPr>
              <w:t>San Paolo Albanese (PZ)</w:t>
            </w:r>
          </w:p>
        </w:tc>
        <w:tc>
          <w:tcPr>
            <w:tcW w:w="365" w:type="pct"/>
            <w:shd w:val="clear" w:color="000000" w:fill="D9D9D9"/>
            <w:vAlign w:val="center"/>
            <w:hideMark/>
          </w:tcPr>
          <w:p w:rsidR="008301C7" w:rsidRPr="00ED356C" w:rsidRDefault="008301C7" w:rsidP="00D43079">
            <w:pPr>
              <w:spacing w:before="40" w:after="20"/>
              <w:jc w:val="right"/>
              <w:rPr>
                <w:rFonts w:ascii="Arial Narrow" w:hAnsi="Arial Narrow" w:cs="Calibri"/>
                <w:color w:val="000000" w:themeColor="text1"/>
                <w:sz w:val="18"/>
                <w:szCs w:val="18"/>
              </w:rPr>
            </w:pPr>
            <w:r w:rsidRPr="00ED356C">
              <w:rPr>
                <w:rFonts w:ascii="Arial Narrow" w:hAnsi="Arial Narrow" w:cs="Calibri"/>
                <w:color w:val="000000" w:themeColor="text1"/>
                <w:sz w:val="18"/>
                <w:szCs w:val="18"/>
              </w:rPr>
              <w:t xml:space="preserve">58,0 </w:t>
            </w:r>
          </w:p>
        </w:tc>
      </w:tr>
      <w:tr w:rsidR="008301C7" w:rsidTr="00D43079">
        <w:trPr>
          <w:trHeight w:val="255"/>
        </w:trPr>
        <w:tc>
          <w:tcPr>
            <w:tcW w:w="1189" w:type="pct"/>
            <w:shd w:val="clear" w:color="000000" w:fill="FFFFFF"/>
            <w:vAlign w:val="center"/>
            <w:hideMark/>
          </w:tcPr>
          <w:p w:rsidR="008301C7" w:rsidRPr="00ED356C" w:rsidRDefault="008301C7" w:rsidP="00D43079">
            <w:pPr>
              <w:spacing w:before="40" w:after="20"/>
              <w:rPr>
                <w:rFonts w:ascii="Arial Narrow" w:hAnsi="Arial Narrow" w:cs="Calibri"/>
                <w:color w:val="000000" w:themeColor="text1"/>
                <w:sz w:val="18"/>
                <w:szCs w:val="18"/>
              </w:rPr>
            </w:pPr>
            <w:r w:rsidRPr="00ED356C">
              <w:rPr>
                <w:rFonts w:ascii="Arial Narrow" w:hAnsi="Arial Narrow" w:cs="Calibri"/>
                <w:color w:val="000000" w:themeColor="text1"/>
                <w:sz w:val="18"/>
                <w:szCs w:val="18"/>
              </w:rPr>
              <w:t>Comune con il rapporto di mascolinità più basso</w:t>
            </w:r>
          </w:p>
        </w:tc>
        <w:tc>
          <w:tcPr>
            <w:tcW w:w="953" w:type="pct"/>
            <w:shd w:val="clear" w:color="000000" w:fill="D9D9D9"/>
            <w:vAlign w:val="center"/>
            <w:hideMark/>
          </w:tcPr>
          <w:p w:rsidR="008301C7" w:rsidRPr="00ED356C" w:rsidRDefault="008301C7" w:rsidP="00D43079">
            <w:pPr>
              <w:spacing w:before="40" w:after="20"/>
              <w:rPr>
                <w:rFonts w:ascii="Arial Narrow" w:hAnsi="Arial Narrow" w:cs="Calibri"/>
                <w:color w:val="000000" w:themeColor="text1"/>
                <w:sz w:val="18"/>
                <w:szCs w:val="18"/>
              </w:rPr>
            </w:pPr>
            <w:r w:rsidRPr="00ED356C">
              <w:rPr>
                <w:rFonts w:ascii="Arial Narrow" w:hAnsi="Arial Narrow" w:cs="Calibri"/>
                <w:color w:val="000000" w:themeColor="text1"/>
                <w:sz w:val="18"/>
                <w:szCs w:val="18"/>
              </w:rPr>
              <w:t>Cirigliano (MT)</w:t>
            </w:r>
          </w:p>
        </w:tc>
        <w:tc>
          <w:tcPr>
            <w:tcW w:w="351" w:type="pct"/>
            <w:shd w:val="clear" w:color="000000" w:fill="FFFFFF"/>
            <w:vAlign w:val="center"/>
            <w:hideMark/>
          </w:tcPr>
          <w:p w:rsidR="008301C7" w:rsidRPr="00ED356C" w:rsidRDefault="008301C7" w:rsidP="00D43079">
            <w:pPr>
              <w:spacing w:before="40" w:after="20"/>
              <w:jc w:val="right"/>
              <w:rPr>
                <w:rFonts w:ascii="Arial Narrow" w:hAnsi="Arial Narrow" w:cs="Calibri"/>
                <w:color w:val="000000" w:themeColor="text1"/>
                <w:sz w:val="18"/>
                <w:szCs w:val="18"/>
              </w:rPr>
            </w:pPr>
            <w:r w:rsidRPr="00ED356C">
              <w:rPr>
                <w:rFonts w:ascii="Arial Narrow" w:hAnsi="Arial Narrow" w:cs="Calibri"/>
                <w:color w:val="000000" w:themeColor="text1"/>
                <w:sz w:val="18"/>
                <w:szCs w:val="18"/>
              </w:rPr>
              <w:t xml:space="preserve">76,7 </w:t>
            </w:r>
          </w:p>
        </w:tc>
        <w:tc>
          <w:tcPr>
            <w:tcW w:w="1189" w:type="pct"/>
            <w:shd w:val="clear" w:color="000000" w:fill="D9D9D9"/>
            <w:vAlign w:val="center"/>
            <w:hideMark/>
          </w:tcPr>
          <w:p w:rsidR="008301C7" w:rsidRPr="00ED356C" w:rsidRDefault="008301C7" w:rsidP="00D43079">
            <w:pPr>
              <w:spacing w:before="40" w:after="20"/>
              <w:rPr>
                <w:rFonts w:ascii="Arial Narrow" w:hAnsi="Arial Narrow" w:cs="Calibri"/>
                <w:color w:val="000000" w:themeColor="text1"/>
                <w:sz w:val="18"/>
                <w:szCs w:val="18"/>
              </w:rPr>
            </w:pPr>
            <w:r w:rsidRPr="00ED356C">
              <w:rPr>
                <w:rFonts w:ascii="Arial Narrow" w:hAnsi="Arial Narrow" w:cs="Calibri"/>
                <w:color w:val="000000" w:themeColor="text1"/>
                <w:sz w:val="18"/>
                <w:szCs w:val="18"/>
              </w:rPr>
              <w:t>Comune con il rapporto di mascolinità più alto</w:t>
            </w:r>
          </w:p>
        </w:tc>
        <w:tc>
          <w:tcPr>
            <w:tcW w:w="953" w:type="pct"/>
            <w:shd w:val="clear" w:color="000000" w:fill="FFFFFF"/>
            <w:vAlign w:val="center"/>
            <w:hideMark/>
          </w:tcPr>
          <w:p w:rsidR="008301C7" w:rsidRPr="00ED356C" w:rsidRDefault="008301C7" w:rsidP="00D43079">
            <w:pPr>
              <w:spacing w:before="40" w:after="20"/>
              <w:rPr>
                <w:rFonts w:ascii="Arial Narrow" w:hAnsi="Arial Narrow" w:cs="Calibri"/>
                <w:color w:val="000000" w:themeColor="text1"/>
                <w:sz w:val="18"/>
                <w:szCs w:val="18"/>
              </w:rPr>
            </w:pPr>
            <w:r w:rsidRPr="00ED356C">
              <w:rPr>
                <w:rFonts w:ascii="Arial Narrow" w:hAnsi="Arial Narrow" w:cs="Calibri"/>
                <w:color w:val="000000" w:themeColor="text1"/>
                <w:sz w:val="18"/>
                <w:szCs w:val="18"/>
              </w:rPr>
              <w:t>Sasso di Castalda (PZ)</w:t>
            </w:r>
          </w:p>
        </w:tc>
        <w:tc>
          <w:tcPr>
            <w:tcW w:w="365" w:type="pct"/>
            <w:shd w:val="clear" w:color="000000" w:fill="D9D9D9"/>
            <w:vAlign w:val="center"/>
            <w:hideMark/>
          </w:tcPr>
          <w:p w:rsidR="008301C7" w:rsidRPr="00ED356C" w:rsidRDefault="008301C7" w:rsidP="00D43079">
            <w:pPr>
              <w:spacing w:before="40" w:after="20"/>
              <w:jc w:val="right"/>
              <w:rPr>
                <w:rFonts w:ascii="Arial Narrow" w:hAnsi="Arial Narrow" w:cs="Calibri"/>
                <w:color w:val="000000" w:themeColor="text1"/>
                <w:sz w:val="18"/>
                <w:szCs w:val="18"/>
              </w:rPr>
            </w:pPr>
            <w:r w:rsidRPr="00ED356C">
              <w:rPr>
                <w:rFonts w:ascii="Arial Narrow" w:hAnsi="Arial Narrow" w:cs="Calibri"/>
                <w:color w:val="000000" w:themeColor="text1"/>
                <w:sz w:val="18"/>
                <w:szCs w:val="18"/>
              </w:rPr>
              <w:t xml:space="preserve">111,2 </w:t>
            </w:r>
          </w:p>
        </w:tc>
      </w:tr>
      <w:tr w:rsidR="008301C7" w:rsidTr="00D43079">
        <w:trPr>
          <w:trHeight w:val="255"/>
        </w:trPr>
        <w:tc>
          <w:tcPr>
            <w:tcW w:w="1189" w:type="pct"/>
            <w:shd w:val="clear" w:color="000000" w:fill="FFFFFF"/>
            <w:vAlign w:val="center"/>
            <w:hideMark/>
          </w:tcPr>
          <w:p w:rsidR="008301C7" w:rsidRPr="00ED356C" w:rsidRDefault="008301C7" w:rsidP="00D43079">
            <w:pPr>
              <w:spacing w:before="40" w:after="20"/>
              <w:rPr>
                <w:rFonts w:ascii="Arial Narrow" w:hAnsi="Arial Narrow" w:cs="Calibri"/>
                <w:color w:val="000000" w:themeColor="text1"/>
                <w:sz w:val="18"/>
                <w:szCs w:val="18"/>
              </w:rPr>
            </w:pPr>
            <w:r w:rsidRPr="00ED356C">
              <w:rPr>
                <w:rFonts w:ascii="Arial Narrow" w:hAnsi="Arial Narrow" w:cs="Calibri"/>
                <w:color w:val="000000" w:themeColor="text1"/>
                <w:sz w:val="18"/>
                <w:szCs w:val="18"/>
              </w:rPr>
              <w:t>Comune con maggior incremento della popolazione rispetto al 2011 (per 100 residenti)</w:t>
            </w:r>
          </w:p>
        </w:tc>
        <w:tc>
          <w:tcPr>
            <w:tcW w:w="953" w:type="pct"/>
            <w:shd w:val="clear" w:color="000000" w:fill="D9D9D9"/>
            <w:vAlign w:val="center"/>
            <w:hideMark/>
          </w:tcPr>
          <w:p w:rsidR="008301C7" w:rsidRPr="00ED356C" w:rsidRDefault="008301C7" w:rsidP="00D43079">
            <w:pPr>
              <w:spacing w:before="40" w:after="20"/>
              <w:rPr>
                <w:rFonts w:ascii="Arial Narrow" w:hAnsi="Arial Narrow" w:cs="Calibri"/>
                <w:color w:val="000000" w:themeColor="text1"/>
                <w:sz w:val="18"/>
                <w:szCs w:val="18"/>
              </w:rPr>
            </w:pPr>
            <w:r w:rsidRPr="00ED356C">
              <w:rPr>
                <w:rFonts w:ascii="Arial Narrow" w:hAnsi="Arial Narrow" w:cs="Calibri"/>
                <w:color w:val="000000" w:themeColor="text1"/>
                <w:sz w:val="18"/>
                <w:szCs w:val="18"/>
              </w:rPr>
              <w:t>Policoro (MT)</w:t>
            </w:r>
          </w:p>
        </w:tc>
        <w:tc>
          <w:tcPr>
            <w:tcW w:w="351" w:type="pct"/>
            <w:shd w:val="clear" w:color="000000" w:fill="FFFFFF"/>
            <w:vAlign w:val="center"/>
            <w:hideMark/>
          </w:tcPr>
          <w:p w:rsidR="008301C7" w:rsidRPr="00ED356C" w:rsidRDefault="008301C7" w:rsidP="00D43079">
            <w:pPr>
              <w:spacing w:before="40" w:after="20"/>
              <w:jc w:val="right"/>
              <w:rPr>
                <w:rFonts w:ascii="Arial Narrow" w:hAnsi="Arial Narrow" w:cs="Calibri"/>
                <w:color w:val="000000" w:themeColor="text1"/>
                <w:sz w:val="18"/>
                <w:szCs w:val="18"/>
              </w:rPr>
            </w:pPr>
            <w:r w:rsidRPr="00ED356C">
              <w:rPr>
                <w:rFonts w:ascii="Arial Narrow" w:hAnsi="Arial Narrow" w:cs="Calibri"/>
                <w:color w:val="000000" w:themeColor="text1"/>
                <w:sz w:val="18"/>
                <w:szCs w:val="18"/>
              </w:rPr>
              <w:t xml:space="preserve">11,3 </w:t>
            </w:r>
          </w:p>
        </w:tc>
        <w:tc>
          <w:tcPr>
            <w:tcW w:w="1189" w:type="pct"/>
            <w:shd w:val="clear" w:color="000000" w:fill="D9D9D9"/>
            <w:vAlign w:val="center"/>
            <w:hideMark/>
          </w:tcPr>
          <w:p w:rsidR="008301C7" w:rsidRPr="00ED356C" w:rsidRDefault="008301C7" w:rsidP="00D43079">
            <w:pPr>
              <w:spacing w:before="40" w:after="20"/>
              <w:rPr>
                <w:rFonts w:ascii="Arial Narrow" w:hAnsi="Arial Narrow" w:cs="Calibri"/>
                <w:color w:val="000000" w:themeColor="text1"/>
                <w:sz w:val="18"/>
                <w:szCs w:val="18"/>
              </w:rPr>
            </w:pPr>
            <w:r w:rsidRPr="00ED356C">
              <w:rPr>
                <w:rFonts w:ascii="Arial Narrow" w:hAnsi="Arial Narrow" w:cs="Calibri"/>
                <w:color w:val="000000" w:themeColor="text1"/>
                <w:sz w:val="18"/>
                <w:szCs w:val="18"/>
              </w:rPr>
              <w:t>Comune con maggior decremento della popolazione rispetto al 2011 (per 100 residenti)</w:t>
            </w:r>
          </w:p>
        </w:tc>
        <w:tc>
          <w:tcPr>
            <w:tcW w:w="953" w:type="pct"/>
            <w:shd w:val="clear" w:color="000000" w:fill="FFFFFF"/>
            <w:vAlign w:val="center"/>
            <w:hideMark/>
          </w:tcPr>
          <w:p w:rsidR="008301C7" w:rsidRPr="00ED356C" w:rsidRDefault="008301C7" w:rsidP="00D43079">
            <w:pPr>
              <w:spacing w:before="40" w:after="20"/>
              <w:rPr>
                <w:rFonts w:ascii="Arial Narrow" w:hAnsi="Arial Narrow" w:cs="Calibri"/>
                <w:color w:val="000000" w:themeColor="text1"/>
                <w:sz w:val="18"/>
                <w:szCs w:val="18"/>
              </w:rPr>
            </w:pPr>
            <w:r w:rsidRPr="00ED356C">
              <w:rPr>
                <w:rFonts w:ascii="Arial Narrow" w:hAnsi="Arial Narrow" w:cs="Calibri"/>
                <w:color w:val="000000" w:themeColor="text1"/>
                <w:sz w:val="18"/>
                <w:szCs w:val="18"/>
              </w:rPr>
              <w:t>San Paolo Albanese (PZ)</w:t>
            </w:r>
          </w:p>
        </w:tc>
        <w:tc>
          <w:tcPr>
            <w:tcW w:w="365" w:type="pct"/>
            <w:shd w:val="clear" w:color="000000" w:fill="D9D9D9"/>
            <w:vAlign w:val="center"/>
            <w:hideMark/>
          </w:tcPr>
          <w:p w:rsidR="008301C7" w:rsidRPr="00ED356C" w:rsidRDefault="008301C7" w:rsidP="00D43079">
            <w:pPr>
              <w:spacing w:before="40" w:after="20"/>
              <w:jc w:val="right"/>
              <w:rPr>
                <w:rFonts w:ascii="Arial Narrow" w:hAnsi="Arial Narrow" w:cs="Calibri"/>
                <w:color w:val="000000" w:themeColor="text1"/>
                <w:sz w:val="18"/>
                <w:szCs w:val="18"/>
              </w:rPr>
            </w:pPr>
            <w:r w:rsidRPr="00ED356C">
              <w:rPr>
                <w:rFonts w:ascii="Arial Narrow" w:hAnsi="Arial Narrow" w:cs="Calibri"/>
                <w:color w:val="000000" w:themeColor="text1"/>
                <w:sz w:val="18"/>
                <w:szCs w:val="18"/>
              </w:rPr>
              <w:t xml:space="preserve">-25,2 </w:t>
            </w:r>
          </w:p>
        </w:tc>
      </w:tr>
      <w:tr w:rsidR="008301C7" w:rsidTr="00D43079">
        <w:trPr>
          <w:trHeight w:val="255"/>
        </w:trPr>
        <w:tc>
          <w:tcPr>
            <w:tcW w:w="1189" w:type="pct"/>
            <w:shd w:val="clear" w:color="000000" w:fill="FFFFFF"/>
            <w:vAlign w:val="center"/>
            <w:hideMark/>
          </w:tcPr>
          <w:p w:rsidR="008301C7" w:rsidRPr="00ED356C" w:rsidRDefault="008301C7" w:rsidP="00D43079">
            <w:pPr>
              <w:spacing w:before="40" w:after="20"/>
              <w:rPr>
                <w:rFonts w:ascii="Arial Narrow" w:hAnsi="Arial Narrow" w:cs="Calibri"/>
                <w:color w:val="000000" w:themeColor="text1"/>
                <w:sz w:val="18"/>
                <w:szCs w:val="18"/>
              </w:rPr>
            </w:pPr>
            <w:r w:rsidRPr="00ED356C">
              <w:rPr>
                <w:rFonts w:ascii="Arial Narrow" w:hAnsi="Arial Narrow" w:cs="Calibri"/>
                <w:color w:val="000000" w:themeColor="text1"/>
                <w:sz w:val="18"/>
                <w:szCs w:val="18"/>
              </w:rPr>
              <w:t>Comune con maggior incremento di residenti italiani rispetto al 2011 (per 100 residenti)</w:t>
            </w:r>
          </w:p>
        </w:tc>
        <w:tc>
          <w:tcPr>
            <w:tcW w:w="953" w:type="pct"/>
            <w:shd w:val="clear" w:color="000000" w:fill="D9D9D9"/>
            <w:vAlign w:val="center"/>
            <w:hideMark/>
          </w:tcPr>
          <w:p w:rsidR="008301C7" w:rsidRPr="00ED356C" w:rsidRDefault="008301C7" w:rsidP="00D43079">
            <w:pPr>
              <w:spacing w:before="40" w:after="20"/>
              <w:rPr>
                <w:rFonts w:ascii="Arial Narrow" w:hAnsi="Arial Narrow" w:cs="Calibri"/>
                <w:color w:val="000000" w:themeColor="text1"/>
                <w:sz w:val="18"/>
                <w:szCs w:val="18"/>
              </w:rPr>
            </w:pPr>
            <w:r w:rsidRPr="00ED356C">
              <w:rPr>
                <w:rFonts w:ascii="Arial Narrow" w:hAnsi="Arial Narrow" w:cs="Calibri"/>
                <w:color w:val="000000" w:themeColor="text1"/>
                <w:sz w:val="18"/>
                <w:szCs w:val="18"/>
              </w:rPr>
              <w:t>Policoro (MT)</w:t>
            </w:r>
          </w:p>
        </w:tc>
        <w:tc>
          <w:tcPr>
            <w:tcW w:w="351" w:type="pct"/>
            <w:shd w:val="clear" w:color="000000" w:fill="FFFFFF"/>
            <w:vAlign w:val="center"/>
            <w:hideMark/>
          </w:tcPr>
          <w:p w:rsidR="008301C7" w:rsidRPr="00ED356C" w:rsidRDefault="008301C7" w:rsidP="00D43079">
            <w:pPr>
              <w:spacing w:before="40" w:after="20"/>
              <w:jc w:val="right"/>
              <w:rPr>
                <w:rFonts w:ascii="Arial Narrow" w:hAnsi="Arial Narrow" w:cs="Calibri"/>
                <w:color w:val="000000" w:themeColor="text1"/>
                <w:sz w:val="18"/>
                <w:szCs w:val="18"/>
              </w:rPr>
            </w:pPr>
            <w:r w:rsidRPr="00ED356C">
              <w:rPr>
                <w:rFonts w:ascii="Arial Narrow" w:hAnsi="Arial Narrow" w:cs="Calibri"/>
                <w:color w:val="000000" w:themeColor="text1"/>
                <w:sz w:val="18"/>
                <w:szCs w:val="18"/>
              </w:rPr>
              <w:t xml:space="preserve">5,1 </w:t>
            </w:r>
          </w:p>
        </w:tc>
        <w:tc>
          <w:tcPr>
            <w:tcW w:w="1189" w:type="pct"/>
            <w:shd w:val="clear" w:color="000000" w:fill="D9D9D9"/>
            <w:vAlign w:val="center"/>
            <w:hideMark/>
          </w:tcPr>
          <w:p w:rsidR="008301C7" w:rsidRPr="00ED356C" w:rsidRDefault="008301C7" w:rsidP="00D43079">
            <w:pPr>
              <w:spacing w:before="40" w:after="20"/>
              <w:rPr>
                <w:rFonts w:ascii="Arial Narrow" w:hAnsi="Arial Narrow" w:cs="Calibri"/>
                <w:color w:val="000000" w:themeColor="text1"/>
                <w:sz w:val="18"/>
                <w:szCs w:val="18"/>
              </w:rPr>
            </w:pPr>
            <w:r w:rsidRPr="00ED356C">
              <w:rPr>
                <w:rFonts w:ascii="Arial Narrow" w:hAnsi="Arial Narrow" w:cs="Calibri"/>
                <w:color w:val="000000" w:themeColor="text1"/>
                <w:sz w:val="18"/>
                <w:szCs w:val="18"/>
              </w:rPr>
              <w:t>Comune con maggior decremento di residenti italiani rispetto al 2011 (per 100 residenti)</w:t>
            </w:r>
          </w:p>
        </w:tc>
        <w:tc>
          <w:tcPr>
            <w:tcW w:w="953" w:type="pct"/>
            <w:shd w:val="clear" w:color="000000" w:fill="FFFFFF"/>
            <w:vAlign w:val="center"/>
            <w:hideMark/>
          </w:tcPr>
          <w:p w:rsidR="008301C7" w:rsidRPr="00ED356C" w:rsidRDefault="008301C7" w:rsidP="00D43079">
            <w:pPr>
              <w:spacing w:before="40" w:after="20"/>
              <w:rPr>
                <w:rFonts w:ascii="Arial Narrow" w:hAnsi="Arial Narrow" w:cs="Calibri"/>
                <w:color w:val="000000" w:themeColor="text1"/>
                <w:sz w:val="18"/>
                <w:szCs w:val="18"/>
              </w:rPr>
            </w:pPr>
            <w:r w:rsidRPr="00ED356C">
              <w:rPr>
                <w:rFonts w:ascii="Arial Narrow" w:hAnsi="Arial Narrow" w:cs="Calibri"/>
                <w:color w:val="000000" w:themeColor="text1"/>
                <w:sz w:val="18"/>
                <w:szCs w:val="18"/>
              </w:rPr>
              <w:t>San Paolo Albanese (PZ)</w:t>
            </w:r>
          </w:p>
        </w:tc>
        <w:tc>
          <w:tcPr>
            <w:tcW w:w="365" w:type="pct"/>
            <w:shd w:val="clear" w:color="000000" w:fill="D9D9D9"/>
            <w:vAlign w:val="center"/>
            <w:hideMark/>
          </w:tcPr>
          <w:p w:rsidR="008301C7" w:rsidRPr="00ED356C" w:rsidRDefault="008301C7" w:rsidP="00D43079">
            <w:pPr>
              <w:spacing w:before="40" w:after="20"/>
              <w:jc w:val="right"/>
              <w:rPr>
                <w:rFonts w:ascii="Arial Narrow" w:hAnsi="Arial Narrow" w:cs="Calibri"/>
                <w:color w:val="000000" w:themeColor="text1"/>
                <w:sz w:val="18"/>
                <w:szCs w:val="18"/>
              </w:rPr>
            </w:pPr>
            <w:r w:rsidRPr="00ED356C">
              <w:rPr>
                <w:rFonts w:ascii="Arial Narrow" w:hAnsi="Arial Narrow" w:cs="Calibri"/>
                <w:color w:val="000000" w:themeColor="text1"/>
                <w:sz w:val="18"/>
                <w:szCs w:val="18"/>
              </w:rPr>
              <w:t xml:space="preserve">-25,4 </w:t>
            </w:r>
          </w:p>
        </w:tc>
      </w:tr>
      <w:tr w:rsidR="008301C7" w:rsidTr="00D43079">
        <w:trPr>
          <w:trHeight w:val="255"/>
        </w:trPr>
        <w:tc>
          <w:tcPr>
            <w:tcW w:w="1189" w:type="pct"/>
            <w:shd w:val="clear" w:color="000000" w:fill="FFFFFF"/>
            <w:vAlign w:val="center"/>
            <w:hideMark/>
          </w:tcPr>
          <w:p w:rsidR="008301C7" w:rsidRPr="00ED356C" w:rsidRDefault="008301C7" w:rsidP="00D43079">
            <w:pPr>
              <w:spacing w:before="40" w:after="20"/>
              <w:rPr>
                <w:rFonts w:ascii="Arial Narrow" w:hAnsi="Arial Narrow" w:cs="Calibri"/>
                <w:color w:val="000000" w:themeColor="text1"/>
                <w:sz w:val="18"/>
                <w:szCs w:val="18"/>
              </w:rPr>
            </w:pPr>
            <w:r w:rsidRPr="00ED356C">
              <w:rPr>
                <w:rFonts w:ascii="Arial Narrow" w:hAnsi="Arial Narrow" w:cs="Calibri"/>
                <w:color w:val="000000" w:themeColor="text1"/>
                <w:sz w:val="18"/>
                <w:szCs w:val="18"/>
              </w:rPr>
              <w:t>Comune con maggior incremento di residenti stranieri rispetto al 2011 (per 100 residenti)</w:t>
            </w:r>
            <w:r w:rsidR="00305593" w:rsidRPr="00ED356C">
              <w:rPr>
                <w:rFonts w:ascii="Arial Narrow" w:hAnsi="Arial Narrow" w:cs="Calibri"/>
                <w:color w:val="000000" w:themeColor="text1"/>
                <w:sz w:val="18"/>
                <w:szCs w:val="18"/>
                <w:vertAlign w:val="superscript"/>
              </w:rPr>
              <w:t>(a)</w:t>
            </w:r>
          </w:p>
        </w:tc>
        <w:tc>
          <w:tcPr>
            <w:tcW w:w="953" w:type="pct"/>
            <w:shd w:val="clear" w:color="000000" w:fill="D9D9D9"/>
            <w:vAlign w:val="center"/>
            <w:hideMark/>
          </w:tcPr>
          <w:p w:rsidR="008301C7" w:rsidRPr="00ED356C" w:rsidRDefault="008301C7" w:rsidP="00D43079">
            <w:pPr>
              <w:spacing w:before="40" w:after="20"/>
              <w:rPr>
                <w:rFonts w:ascii="Arial Narrow" w:hAnsi="Arial Narrow" w:cs="Calibri"/>
                <w:color w:val="000000" w:themeColor="text1"/>
                <w:sz w:val="18"/>
                <w:szCs w:val="18"/>
              </w:rPr>
            </w:pPr>
            <w:r w:rsidRPr="00ED356C">
              <w:rPr>
                <w:rFonts w:ascii="Arial Narrow" w:hAnsi="Arial Narrow" w:cs="Calibri"/>
                <w:color w:val="000000" w:themeColor="text1"/>
                <w:sz w:val="18"/>
                <w:szCs w:val="18"/>
              </w:rPr>
              <w:t>Anzi (PZ)</w:t>
            </w:r>
          </w:p>
        </w:tc>
        <w:tc>
          <w:tcPr>
            <w:tcW w:w="351" w:type="pct"/>
            <w:shd w:val="clear" w:color="000000" w:fill="FFFFFF"/>
            <w:vAlign w:val="center"/>
            <w:hideMark/>
          </w:tcPr>
          <w:p w:rsidR="008301C7" w:rsidRPr="00ED356C" w:rsidRDefault="008301C7" w:rsidP="00D43079">
            <w:pPr>
              <w:spacing w:before="40" w:after="20"/>
              <w:jc w:val="right"/>
              <w:rPr>
                <w:rFonts w:ascii="Arial Narrow" w:hAnsi="Arial Narrow" w:cs="Calibri"/>
                <w:color w:val="000000" w:themeColor="text1"/>
                <w:sz w:val="18"/>
                <w:szCs w:val="18"/>
              </w:rPr>
            </w:pPr>
            <w:r w:rsidRPr="00ED356C">
              <w:rPr>
                <w:rFonts w:ascii="Arial Narrow" w:hAnsi="Arial Narrow" w:cs="Calibri"/>
                <w:color w:val="000000" w:themeColor="text1"/>
                <w:sz w:val="18"/>
                <w:szCs w:val="18"/>
              </w:rPr>
              <w:t xml:space="preserve">520,0 </w:t>
            </w:r>
          </w:p>
        </w:tc>
        <w:tc>
          <w:tcPr>
            <w:tcW w:w="1189" w:type="pct"/>
            <w:shd w:val="clear" w:color="000000" w:fill="D9D9D9"/>
            <w:vAlign w:val="center"/>
            <w:hideMark/>
          </w:tcPr>
          <w:p w:rsidR="008301C7" w:rsidRPr="00ED356C" w:rsidRDefault="008301C7" w:rsidP="00D43079">
            <w:pPr>
              <w:spacing w:before="40" w:after="20"/>
              <w:rPr>
                <w:rFonts w:ascii="Arial Narrow" w:hAnsi="Arial Narrow" w:cs="Calibri"/>
                <w:color w:val="000000" w:themeColor="text1"/>
                <w:sz w:val="18"/>
                <w:szCs w:val="18"/>
              </w:rPr>
            </w:pPr>
            <w:r w:rsidRPr="00ED356C">
              <w:rPr>
                <w:rFonts w:ascii="Arial Narrow" w:hAnsi="Arial Narrow" w:cs="Calibri"/>
                <w:color w:val="000000" w:themeColor="text1"/>
                <w:sz w:val="18"/>
                <w:szCs w:val="18"/>
              </w:rPr>
              <w:t>Comune con maggior decremento di residenti stranieri rispetto al 2011 (per 100 residenti)</w:t>
            </w:r>
            <w:r w:rsidR="00305593" w:rsidRPr="00ED356C">
              <w:rPr>
                <w:rFonts w:ascii="Arial Narrow" w:hAnsi="Arial Narrow" w:cs="Calibri"/>
                <w:color w:val="000000" w:themeColor="text1"/>
                <w:sz w:val="18"/>
                <w:szCs w:val="18"/>
                <w:vertAlign w:val="superscript"/>
              </w:rPr>
              <w:t xml:space="preserve"> (a)</w:t>
            </w:r>
          </w:p>
        </w:tc>
        <w:tc>
          <w:tcPr>
            <w:tcW w:w="953" w:type="pct"/>
            <w:shd w:val="clear" w:color="000000" w:fill="FFFFFF"/>
            <w:vAlign w:val="center"/>
            <w:hideMark/>
          </w:tcPr>
          <w:p w:rsidR="008301C7" w:rsidRPr="00ED356C" w:rsidRDefault="008301C7" w:rsidP="00D43079">
            <w:pPr>
              <w:spacing w:before="40" w:after="20"/>
              <w:rPr>
                <w:rFonts w:ascii="Arial Narrow" w:hAnsi="Arial Narrow" w:cs="Calibri"/>
                <w:color w:val="000000" w:themeColor="text1"/>
                <w:sz w:val="18"/>
                <w:szCs w:val="18"/>
              </w:rPr>
            </w:pPr>
            <w:r w:rsidRPr="00ED356C">
              <w:rPr>
                <w:rFonts w:ascii="Arial Narrow" w:hAnsi="Arial Narrow" w:cs="Calibri"/>
                <w:color w:val="000000" w:themeColor="text1"/>
                <w:sz w:val="18"/>
                <w:szCs w:val="18"/>
              </w:rPr>
              <w:t>Castelluccio Superiore (PZ)</w:t>
            </w:r>
          </w:p>
        </w:tc>
        <w:tc>
          <w:tcPr>
            <w:tcW w:w="365" w:type="pct"/>
            <w:shd w:val="clear" w:color="000000" w:fill="D9D9D9"/>
            <w:vAlign w:val="center"/>
            <w:hideMark/>
          </w:tcPr>
          <w:p w:rsidR="008301C7" w:rsidRPr="00ED356C" w:rsidRDefault="008301C7" w:rsidP="00D43079">
            <w:pPr>
              <w:spacing w:before="40" w:after="20"/>
              <w:jc w:val="right"/>
              <w:rPr>
                <w:rFonts w:ascii="Arial Narrow" w:hAnsi="Arial Narrow" w:cs="Calibri"/>
                <w:color w:val="000000" w:themeColor="text1"/>
                <w:sz w:val="18"/>
                <w:szCs w:val="18"/>
              </w:rPr>
            </w:pPr>
            <w:r w:rsidRPr="00ED356C">
              <w:rPr>
                <w:rFonts w:ascii="Arial Narrow" w:hAnsi="Arial Narrow" w:cs="Calibri"/>
                <w:color w:val="000000" w:themeColor="text1"/>
                <w:sz w:val="18"/>
                <w:szCs w:val="18"/>
              </w:rPr>
              <w:t xml:space="preserve">-50,0 </w:t>
            </w:r>
          </w:p>
        </w:tc>
      </w:tr>
    </w:tbl>
    <w:p w:rsidR="00524D8D" w:rsidRPr="00305593" w:rsidRDefault="00305593" w:rsidP="00305593">
      <w:pPr>
        <w:spacing w:after="120"/>
        <w:ind w:left="142" w:hanging="142"/>
        <w:jc w:val="both"/>
        <w:rPr>
          <w:rFonts w:ascii="Arial Narrow" w:hAnsi="Arial Narrow" w:cs="Arial"/>
          <w:sz w:val="18"/>
          <w:szCs w:val="20"/>
        </w:rPr>
      </w:pPr>
      <w:r w:rsidRPr="00305593">
        <w:rPr>
          <w:rFonts w:ascii="Arial Narrow" w:hAnsi="Arial Narrow" w:cs="Arial"/>
          <w:sz w:val="18"/>
          <w:szCs w:val="20"/>
          <w:vertAlign w:val="superscript"/>
        </w:rPr>
        <w:t>(a)</w:t>
      </w:r>
      <w:r w:rsidRPr="00305593">
        <w:rPr>
          <w:rFonts w:ascii="Arial Narrow" w:hAnsi="Arial Narrow" w:cs="Arial"/>
          <w:sz w:val="18"/>
          <w:szCs w:val="20"/>
        </w:rPr>
        <w:t>Per determinare il comune con il maggior incremento o decremento di popolazione straniera è stato considerato l’insieme dei comuni con almeno 10 stranieri residenti al 2011</w:t>
      </w:r>
    </w:p>
    <w:p w:rsidR="009A7B83" w:rsidRPr="009B07D4" w:rsidRDefault="00AC51DB" w:rsidP="005B5D9A">
      <w:pPr>
        <w:spacing w:before="360" w:after="120"/>
        <w:jc w:val="both"/>
        <w:rPr>
          <w:rFonts w:ascii="Arial Narrow" w:hAnsi="Arial Narrow"/>
          <w:bCs/>
          <w:color w:val="404040" w:themeColor="text1" w:themeTint="BF"/>
          <w:sz w:val="22"/>
          <w:szCs w:val="22"/>
        </w:rPr>
      </w:pPr>
      <w:r w:rsidRPr="009B07D4">
        <w:rPr>
          <w:rFonts w:ascii="Trebuchet MS" w:hAnsi="Trebuchet MS" w:cs="Arial"/>
          <w:color w:val="5F5F5F"/>
          <w:sz w:val="20"/>
          <w:szCs w:val="20"/>
        </w:rPr>
        <w:t xml:space="preserve">Il </w:t>
      </w:r>
      <w:r w:rsidR="00C40D44" w:rsidRPr="009B07D4">
        <w:rPr>
          <w:rFonts w:ascii="Trebuchet MS" w:hAnsi="Trebuchet MS" w:cs="Arial"/>
          <w:color w:val="5F5F5F"/>
          <w:sz w:val="20"/>
          <w:szCs w:val="20"/>
        </w:rPr>
        <w:t xml:space="preserve">comune più giovane è </w:t>
      </w:r>
      <w:r w:rsidRPr="009B07D4">
        <w:rPr>
          <w:rFonts w:ascii="Trebuchet MS" w:hAnsi="Trebuchet MS" w:cs="Arial"/>
          <w:color w:val="5F5F5F"/>
          <w:sz w:val="20"/>
          <w:szCs w:val="20"/>
        </w:rPr>
        <w:t>Marsicovetere</w:t>
      </w:r>
      <w:r w:rsidR="00C40D44" w:rsidRPr="009B07D4">
        <w:rPr>
          <w:rFonts w:ascii="Trebuchet MS" w:hAnsi="Trebuchet MS" w:cs="Arial"/>
          <w:color w:val="5F5F5F"/>
          <w:sz w:val="20"/>
          <w:szCs w:val="20"/>
        </w:rPr>
        <w:t xml:space="preserve">, in provincia di </w:t>
      </w:r>
      <w:r w:rsidRPr="009B07D4">
        <w:rPr>
          <w:rFonts w:ascii="Trebuchet MS" w:hAnsi="Trebuchet MS" w:cs="Arial"/>
          <w:color w:val="5F5F5F"/>
          <w:sz w:val="20"/>
          <w:szCs w:val="20"/>
        </w:rPr>
        <w:t>Potenza</w:t>
      </w:r>
      <w:r w:rsidR="00C40D44" w:rsidRPr="009B07D4">
        <w:rPr>
          <w:rFonts w:ascii="Trebuchet MS" w:hAnsi="Trebuchet MS" w:cs="Arial"/>
          <w:color w:val="5F5F5F"/>
          <w:sz w:val="20"/>
          <w:szCs w:val="20"/>
        </w:rPr>
        <w:t xml:space="preserve">, con un’età media di </w:t>
      </w:r>
      <w:r w:rsidRPr="009B07D4">
        <w:rPr>
          <w:rFonts w:ascii="Trebuchet MS" w:hAnsi="Trebuchet MS" w:cs="Arial"/>
          <w:color w:val="5F5F5F"/>
          <w:sz w:val="20"/>
          <w:szCs w:val="20"/>
        </w:rPr>
        <w:t>41,8</w:t>
      </w:r>
      <w:r w:rsidR="00C40D44" w:rsidRPr="009B07D4">
        <w:rPr>
          <w:rFonts w:ascii="Trebuchet MS" w:hAnsi="Trebuchet MS" w:cs="Arial"/>
          <w:color w:val="5F5F5F"/>
          <w:sz w:val="20"/>
          <w:szCs w:val="20"/>
        </w:rPr>
        <w:t xml:space="preserve"> anni</w:t>
      </w:r>
      <w:r w:rsidR="003061E1">
        <w:rPr>
          <w:rFonts w:ascii="Trebuchet MS" w:hAnsi="Trebuchet MS" w:cs="Arial"/>
          <w:color w:val="5F5F5F"/>
          <w:sz w:val="20"/>
          <w:szCs w:val="20"/>
        </w:rPr>
        <w:t xml:space="preserve"> mentre</w:t>
      </w:r>
      <w:r w:rsidR="00C40D44" w:rsidRPr="009B07D4">
        <w:rPr>
          <w:rFonts w:ascii="Trebuchet MS" w:hAnsi="Trebuchet MS" w:cs="Arial"/>
          <w:color w:val="5F5F5F"/>
          <w:sz w:val="20"/>
          <w:szCs w:val="20"/>
        </w:rPr>
        <w:t xml:space="preserve"> il più vecchio è </w:t>
      </w:r>
      <w:r w:rsidR="008E6CB5" w:rsidRPr="009B07D4">
        <w:rPr>
          <w:rFonts w:ascii="Trebuchet MS" w:hAnsi="Trebuchet MS" w:cs="Arial"/>
          <w:color w:val="5F5F5F"/>
          <w:sz w:val="20"/>
          <w:szCs w:val="20"/>
        </w:rPr>
        <w:t>San Paolo Albanese</w:t>
      </w:r>
      <w:r w:rsidR="00C40D44" w:rsidRPr="009B07D4">
        <w:rPr>
          <w:rFonts w:ascii="Trebuchet MS" w:hAnsi="Trebuchet MS" w:cs="Arial"/>
          <w:color w:val="5F5F5F"/>
          <w:sz w:val="20"/>
          <w:szCs w:val="20"/>
        </w:rPr>
        <w:t xml:space="preserve">, </w:t>
      </w:r>
      <w:r w:rsidR="008E6CB5" w:rsidRPr="009B07D4">
        <w:rPr>
          <w:rFonts w:ascii="Trebuchet MS" w:hAnsi="Trebuchet MS" w:cs="Arial"/>
          <w:color w:val="5F5F5F"/>
          <w:sz w:val="20"/>
          <w:szCs w:val="20"/>
        </w:rPr>
        <w:t xml:space="preserve">sempre </w:t>
      </w:r>
      <w:r w:rsidR="00C40D44" w:rsidRPr="009B07D4">
        <w:rPr>
          <w:rFonts w:ascii="Trebuchet MS" w:hAnsi="Trebuchet MS" w:cs="Arial"/>
          <w:color w:val="5F5F5F"/>
          <w:sz w:val="20"/>
          <w:szCs w:val="20"/>
        </w:rPr>
        <w:t xml:space="preserve">in provincia di </w:t>
      </w:r>
      <w:r w:rsidR="008E6CB5" w:rsidRPr="009B07D4">
        <w:rPr>
          <w:rFonts w:ascii="Trebuchet MS" w:hAnsi="Trebuchet MS" w:cs="Arial"/>
          <w:color w:val="5F5F5F"/>
          <w:sz w:val="20"/>
          <w:szCs w:val="20"/>
        </w:rPr>
        <w:t>Potenza</w:t>
      </w:r>
      <w:r w:rsidR="00C40D44" w:rsidRPr="009B07D4">
        <w:rPr>
          <w:rFonts w:ascii="Trebuchet MS" w:hAnsi="Trebuchet MS" w:cs="Arial"/>
          <w:color w:val="5F5F5F"/>
          <w:sz w:val="20"/>
          <w:szCs w:val="20"/>
        </w:rPr>
        <w:t xml:space="preserve">, dove l’età media sale a </w:t>
      </w:r>
      <w:r w:rsidR="008E6CB5" w:rsidRPr="009B07D4">
        <w:rPr>
          <w:rFonts w:ascii="Trebuchet MS" w:hAnsi="Trebuchet MS" w:cs="Arial"/>
          <w:color w:val="5F5F5F"/>
          <w:sz w:val="20"/>
          <w:szCs w:val="20"/>
        </w:rPr>
        <w:t>58</w:t>
      </w:r>
      <w:r w:rsidR="00C40D44" w:rsidRPr="009B07D4">
        <w:rPr>
          <w:rFonts w:ascii="Trebuchet MS" w:hAnsi="Trebuchet MS" w:cs="Arial"/>
          <w:color w:val="5F5F5F"/>
          <w:sz w:val="20"/>
          <w:szCs w:val="20"/>
        </w:rPr>
        <w:t xml:space="preserve"> anni</w:t>
      </w:r>
      <w:r w:rsidR="009B07D4" w:rsidRPr="009B07D4">
        <w:rPr>
          <w:rFonts w:ascii="Trebuchet MS" w:hAnsi="Trebuchet MS" w:cs="Arial"/>
          <w:color w:val="5F5F5F"/>
          <w:sz w:val="20"/>
          <w:szCs w:val="20"/>
        </w:rPr>
        <w:t xml:space="preserve">. </w:t>
      </w:r>
      <w:r w:rsidR="008E6CB5" w:rsidRPr="009B07D4">
        <w:rPr>
          <w:rFonts w:ascii="Trebuchet MS" w:hAnsi="Trebuchet MS" w:cs="Arial"/>
          <w:color w:val="5F5F5F"/>
          <w:sz w:val="20"/>
          <w:szCs w:val="20"/>
        </w:rPr>
        <w:t xml:space="preserve">San Paolo Albanese è anche il </w:t>
      </w:r>
      <w:r w:rsidR="009B07D4" w:rsidRPr="009B07D4">
        <w:rPr>
          <w:rFonts w:ascii="Trebuchet MS" w:hAnsi="Trebuchet MS" w:cs="Arial"/>
          <w:color w:val="5F5F5F"/>
          <w:sz w:val="20"/>
          <w:szCs w:val="20"/>
        </w:rPr>
        <w:t xml:space="preserve">più piccolo </w:t>
      </w:r>
      <w:r w:rsidR="008E6CB5" w:rsidRPr="009B07D4">
        <w:rPr>
          <w:rFonts w:ascii="Trebuchet MS" w:hAnsi="Trebuchet MS" w:cs="Arial"/>
          <w:color w:val="5F5F5F"/>
          <w:sz w:val="20"/>
          <w:szCs w:val="20"/>
        </w:rPr>
        <w:t>comune</w:t>
      </w:r>
      <w:r w:rsidR="009B07D4" w:rsidRPr="009B07D4">
        <w:rPr>
          <w:rFonts w:ascii="Trebuchet MS" w:hAnsi="Trebuchet MS" w:cs="Arial"/>
          <w:color w:val="5F5F5F"/>
          <w:sz w:val="20"/>
          <w:szCs w:val="20"/>
        </w:rPr>
        <w:t>, conta appena 2</w:t>
      </w:r>
      <w:r w:rsidR="008E6CB5" w:rsidRPr="009B07D4">
        <w:rPr>
          <w:rFonts w:ascii="Trebuchet MS" w:hAnsi="Trebuchet MS" w:cs="Arial"/>
          <w:color w:val="5F5F5F"/>
          <w:sz w:val="20"/>
          <w:szCs w:val="20"/>
        </w:rPr>
        <w:t>29 residenti</w:t>
      </w:r>
      <w:r w:rsidR="009B07D4" w:rsidRPr="009B07D4">
        <w:rPr>
          <w:rFonts w:ascii="Trebuchet MS" w:hAnsi="Trebuchet MS" w:cs="Arial"/>
          <w:color w:val="5F5F5F"/>
          <w:sz w:val="20"/>
          <w:szCs w:val="20"/>
        </w:rPr>
        <w:t xml:space="preserve"> di cui 111 con 65 anni e più e </w:t>
      </w:r>
      <w:r w:rsidR="00C40D44" w:rsidRPr="009B07D4">
        <w:rPr>
          <w:rFonts w:ascii="Trebuchet MS" w:hAnsi="Trebuchet MS" w:cs="Arial"/>
          <w:color w:val="5F5F5F"/>
          <w:sz w:val="20"/>
          <w:szCs w:val="20"/>
        </w:rPr>
        <w:t xml:space="preserve">solo </w:t>
      </w:r>
      <w:r w:rsidR="009B07D4" w:rsidRPr="009B07D4">
        <w:rPr>
          <w:rFonts w:ascii="Trebuchet MS" w:hAnsi="Trebuchet MS" w:cs="Arial"/>
          <w:color w:val="5F5F5F"/>
          <w:sz w:val="20"/>
          <w:szCs w:val="20"/>
        </w:rPr>
        <w:t>11</w:t>
      </w:r>
      <w:r w:rsidR="00C40D44" w:rsidRPr="009B07D4">
        <w:rPr>
          <w:rFonts w:ascii="Trebuchet MS" w:hAnsi="Trebuchet MS" w:cs="Arial"/>
          <w:color w:val="5F5F5F"/>
          <w:sz w:val="20"/>
          <w:szCs w:val="20"/>
        </w:rPr>
        <w:t xml:space="preserve"> con meno di 15.</w:t>
      </w:r>
    </w:p>
    <w:p w:rsidR="00CA07B5" w:rsidRPr="00D554C2" w:rsidRDefault="00204DFE" w:rsidP="00E072ED">
      <w:pPr>
        <w:spacing w:before="600" w:after="120"/>
        <w:jc w:val="both"/>
        <w:rPr>
          <w:rFonts w:ascii="Trebuchet MS" w:hAnsi="Trebuchet MS" w:cs="Arial"/>
          <w:b/>
          <w:color w:val="5F5F5F"/>
          <w:kern w:val="28"/>
        </w:rPr>
      </w:pPr>
      <w:r w:rsidRPr="00D554C2">
        <w:rPr>
          <w:rFonts w:ascii="Trebuchet MS" w:hAnsi="Trebuchet MS" w:cs="Arial"/>
          <w:b/>
          <w:color w:val="5F5F5F"/>
          <w:kern w:val="28"/>
          <w:sz w:val="22"/>
          <w:szCs w:val="22"/>
        </w:rPr>
        <w:t>L</w:t>
      </w:r>
      <w:r w:rsidR="00C564A1" w:rsidRPr="00D554C2">
        <w:rPr>
          <w:rFonts w:ascii="Trebuchet MS" w:hAnsi="Trebuchet MS" w:cs="Arial"/>
          <w:b/>
          <w:color w:val="5F5F5F"/>
          <w:kern w:val="28"/>
          <w:sz w:val="22"/>
          <w:szCs w:val="22"/>
        </w:rPr>
        <w:t xml:space="preserve">a popolazione straniera </w:t>
      </w:r>
    </w:p>
    <w:p w:rsidR="005A141C" w:rsidRPr="00D554C2" w:rsidRDefault="0062765B" w:rsidP="00E072ED">
      <w:pPr>
        <w:tabs>
          <w:tab w:val="left" w:pos="567"/>
        </w:tabs>
        <w:spacing w:before="240" w:after="120"/>
        <w:jc w:val="both"/>
        <w:rPr>
          <w:rFonts w:ascii="Trebuchet MS" w:hAnsi="Trebuchet MS" w:cs="Arial"/>
          <w:color w:val="5F5F5F"/>
          <w:sz w:val="20"/>
          <w:szCs w:val="20"/>
        </w:rPr>
      </w:pPr>
      <w:r w:rsidRPr="00D554C2">
        <w:rPr>
          <w:rFonts w:ascii="Trebuchet MS" w:hAnsi="Trebuchet MS" w:cs="Arial"/>
          <w:color w:val="5F5F5F"/>
          <w:sz w:val="20"/>
          <w:szCs w:val="20"/>
        </w:rPr>
        <w:t>Al Censimento del 2019 l</w:t>
      </w:r>
      <w:r w:rsidR="005A141C" w:rsidRPr="00D554C2">
        <w:rPr>
          <w:rFonts w:ascii="Trebuchet MS" w:hAnsi="Trebuchet MS" w:cs="Arial"/>
          <w:color w:val="5F5F5F"/>
          <w:sz w:val="20"/>
          <w:szCs w:val="20"/>
        </w:rPr>
        <w:t xml:space="preserve">a popolazione straniera rilevata ammonta a </w:t>
      </w:r>
      <w:r w:rsidR="00DB799B" w:rsidRPr="00D554C2">
        <w:rPr>
          <w:rFonts w:ascii="Trebuchet MS" w:hAnsi="Trebuchet MS" w:cs="Arial"/>
          <w:color w:val="5F5F5F"/>
          <w:sz w:val="20"/>
          <w:szCs w:val="20"/>
        </w:rPr>
        <w:t>22.569</w:t>
      </w:r>
      <w:r w:rsidR="005A141C" w:rsidRPr="00D554C2">
        <w:rPr>
          <w:rFonts w:ascii="Trebuchet MS" w:hAnsi="Trebuchet MS" w:cs="Arial"/>
          <w:color w:val="5F5F5F"/>
          <w:sz w:val="20"/>
          <w:szCs w:val="20"/>
        </w:rPr>
        <w:t xml:space="preserve"> unità. </w:t>
      </w:r>
      <w:r w:rsidR="00B5664A" w:rsidRPr="00D554C2">
        <w:rPr>
          <w:rFonts w:ascii="Trebuchet MS" w:hAnsi="Trebuchet MS" w:cs="Arial"/>
          <w:color w:val="5F5F5F"/>
          <w:sz w:val="20"/>
          <w:szCs w:val="20"/>
        </w:rPr>
        <w:t xml:space="preserve">Rispetto al 2011 si registra una crescita di </w:t>
      </w:r>
      <w:r w:rsidR="00DB799B" w:rsidRPr="00D554C2">
        <w:rPr>
          <w:rFonts w:ascii="Trebuchet MS" w:hAnsi="Trebuchet MS" w:cs="Arial"/>
          <w:color w:val="5F5F5F"/>
          <w:sz w:val="20"/>
          <w:szCs w:val="20"/>
        </w:rPr>
        <w:t>9.641</w:t>
      </w:r>
      <w:r w:rsidR="00B5664A" w:rsidRPr="00D554C2">
        <w:rPr>
          <w:rFonts w:ascii="Trebuchet MS" w:hAnsi="Trebuchet MS" w:cs="Arial"/>
          <w:color w:val="5F5F5F"/>
          <w:sz w:val="20"/>
          <w:szCs w:val="20"/>
        </w:rPr>
        <w:t xml:space="preserve"> unità (+7</w:t>
      </w:r>
      <w:r w:rsidR="00DB799B" w:rsidRPr="00D554C2">
        <w:rPr>
          <w:rFonts w:ascii="Trebuchet MS" w:hAnsi="Trebuchet MS" w:cs="Arial"/>
          <w:color w:val="5F5F5F"/>
          <w:sz w:val="20"/>
          <w:szCs w:val="20"/>
        </w:rPr>
        <w:t>,2</w:t>
      </w:r>
      <w:r w:rsidR="00B5664A" w:rsidRPr="00D554C2">
        <w:rPr>
          <w:rFonts w:ascii="Trebuchet MS" w:hAnsi="Trebuchet MS" w:cs="Arial"/>
          <w:color w:val="5F5F5F"/>
          <w:sz w:val="20"/>
          <w:szCs w:val="20"/>
        </w:rPr>
        <w:t xml:space="preserve">% medio annuo). </w:t>
      </w:r>
      <w:r w:rsidR="005A141C" w:rsidRPr="00D554C2">
        <w:rPr>
          <w:rFonts w:ascii="Trebuchet MS" w:hAnsi="Trebuchet MS" w:cs="Arial"/>
          <w:color w:val="5F5F5F"/>
          <w:sz w:val="20"/>
          <w:szCs w:val="20"/>
        </w:rPr>
        <w:t>Questo incremento, pur rilevante, non è tuttavia sufficiente a impedire il declino della popolazione complessiva (-</w:t>
      </w:r>
      <w:r w:rsidR="004C6E51" w:rsidRPr="00D554C2">
        <w:rPr>
          <w:rFonts w:ascii="Trebuchet MS" w:hAnsi="Trebuchet MS" w:cs="Arial"/>
          <w:color w:val="5F5F5F"/>
          <w:sz w:val="20"/>
          <w:szCs w:val="20"/>
        </w:rPr>
        <w:t>24.782</w:t>
      </w:r>
      <w:r w:rsidR="005A141C" w:rsidRPr="00D554C2">
        <w:rPr>
          <w:rFonts w:ascii="Trebuchet MS" w:hAnsi="Trebuchet MS" w:cs="Arial"/>
          <w:color w:val="5F5F5F"/>
          <w:sz w:val="20"/>
          <w:szCs w:val="20"/>
        </w:rPr>
        <w:t xml:space="preserve"> unità), trainato da una forte contrazione della componente autoctona (-</w:t>
      </w:r>
      <w:r w:rsidR="004C6E51" w:rsidRPr="00D554C2">
        <w:rPr>
          <w:rFonts w:ascii="Trebuchet MS" w:hAnsi="Trebuchet MS" w:cs="Arial"/>
          <w:color w:val="5F5F5F"/>
          <w:sz w:val="20"/>
          <w:szCs w:val="20"/>
        </w:rPr>
        <w:t>34.423</w:t>
      </w:r>
      <w:r w:rsidR="005A141C" w:rsidRPr="00D554C2">
        <w:rPr>
          <w:rFonts w:ascii="Trebuchet MS" w:hAnsi="Trebuchet MS" w:cs="Arial"/>
          <w:color w:val="5F5F5F"/>
          <w:sz w:val="20"/>
          <w:szCs w:val="20"/>
        </w:rPr>
        <w:t>).</w:t>
      </w:r>
    </w:p>
    <w:p w:rsidR="005A141C" w:rsidRPr="00D554C2" w:rsidRDefault="005A141C" w:rsidP="005A141C">
      <w:pPr>
        <w:tabs>
          <w:tab w:val="left" w:pos="567"/>
        </w:tabs>
        <w:spacing w:after="120"/>
        <w:jc w:val="both"/>
        <w:rPr>
          <w:rFonts w:ascii="Trebuchet MS" w:hAnsi="Trebuchet MS" w:cs="Arial"/>
          <w:color w:val="5F5F5F"/>
          <w:sz w:val="20"/>
          <w:szCs w:val="20"/>
        </w:rPr>
      </w:pPr>
      <w:r w:rsidRPr="00D554C2">
        <w:rPr>
          <w:rFonts w:ascii="Trebuchet MS" w:hAnsi="Trebuchet MS" w:cs="Arial"/>
          <w:color w:val="5F5F5F"/>
          <w:sz w:val="20"/>
          <w:szCs w:val="20"/>
        </w:rPr>
        <w:t xml:space="preserve">Se ci si limita ad osservare le tendenze demografiche dell’ultimo anno, la componente straniera perde quasi del tutto la caratteristica </w:t>
      </w:r>
      <w:r w:rsidR="00F77FF1" w:rsidRPr="00D554C2">
        <w:rPr>
          <w:rFonts w:ascii="Trebuchet MS" w:hAnsi="Trebuchet MS" w:cs="Arial"/>
          <w:color w:val="5F5F5F"/>
          <w:sz w:val="20"/>
          <w:szCs w:val="20"/>
        </w:rPr>
        <w:t>antideclino</w:t>
      </w:r>
      <w:r w:rsidRPr="00D554C2">
        <w:rPr>
          <w:rFonts w:ascii="Trebuchet MS" w:hAnsi="Trebuchet MS" w:cs="Arial"/>
          <w:color w:val="5F5F5F"/>
          <w:sz w:val="20"/>
          <w:szCs w:val="20"/>
        </w:rPr>
        <w:t xml:space="preserve"> che l</w:t>
      </w:r>
      <w:r w:rsidR="0062765B" w:rsidRPr="00D554C2">
        <w:rPr>
          <w:rFonts w:ascii="Trebuchet MS" w:hAnsi="Trebuchet MS" w:cs="Arial"/>
          <w:color w:val="5F5F5F"/>
          <w:sz w:val="20"/>
          <w:szCs w:val="20"/>
        </w:rPr>
        <w:t xml:space="preserve">’ha connotata in </w:t>
      </w:r>
      <w:r w:rsidRPr="00D554C2">
        <w:rPr>
          <w:rFonts w:ascii="Trebuchet MS" w:hAnsi="Trebuchet MS" w:cs="Arial"/>
          <w:color w:val="5F5F5F"/>
          <w:sz w:val="20"/>
          <w:szCs w:val="20"/>
        </w:rPr>
        <w:t xml:space="preserve">passato: cresce di sole </w:t>
      </w:r>
      <w:r w:rsidR="004C6E51" w:rsidRPr="00D554C2">
        <w:rPr>
          <w:rFonts w:ascii="Trebuchet MS" w:hAnsi="Trebuchet MS" w:cs="Arial"/>
          <w:color w:val="5F5F5F"/>
          <w:sz w:val="20"/>
          <w:szCs w:val="20"/>
        </w:rPr>
        <w:t>359</w:t>
      </w:r>
      <w:r w:rsidRPr="00D554C2">
        <w:rPr>
          <w:rFonts w:ascii="Trebuchet MS" w:hAnsi="Trebuchet MS" w:cs="Arial"/>
          <w:color w:val="5F5F5F"/>
          <w:sz w:val="20"/>
          <w:szCs w:val="20"/>
        </w:rPr>
        <w:t xml:space="preserve"> unità (</w:t>
      </w:r>
      <w:r w:rsidR="0062765B" w:rsidRPr="00D554C2">
        <w:rPr>
          <w:rFonts w:ascii="Trebuchet MS" w:hAnsi="Trebuchet MS" w:cs="Arial"/>
          <w:color w:val="5F5F5F"/>
          <w:sz w:val="20"/>
          <w:szCs w:val="20"/>
        </w:rPr>
        <w:t>+</w:t>
      </w:r>
      <w:r w:rsidRPr="00D554C2">
        <w:rPr>
          <w:rFonts w:ascii="Trebuchet MS" w:hAnsi="Trebuchet MS" w:cs="Arial"/>
          <w:color w:val="5F5F5F"/>
          <w:sz w:val="20"/>
          <w:szCs w:val="20"/>
        </w:rPr>
        <w:t>1</w:t>
      </w:r>
      <w:r w:rsidR="004C6E51" w:rsidRPr="00D554C2">
        <w:rPr>
          <w:rFonts w:ascii="Trebuchet MS" w:hAnsi="Trebuchet MS" w:cs="Arial"/>
          <w:color w:val="5F5F5F"/>
          <w:sz w:val="20"/>
          <w:szCs w:val="20"/>
        </w:rPr>
        <w:t>,6</w:t>
      </w:r>
      <w:r w:rsidRPr="00D554C2">
        <w:rPr>
          <w:rFonts w:ascii="Trebuchet MS" w:hAnsi="Trebuchet MS" w:cs="Arial"/>
          <w:color w:val="5F5F5F"/>
          <w:sz w:val="20"/>
          <w:szCs w:val="20"/>
        </w:rPr>
        <w:t xml:space="preserve">%) mentre la popolazione italiana perde </w:t>
      </w:r>
      <w:r w:rsidR="004C6E51" w:rsidRPr="00D554C2">
        <w:rPr>
          <w:rFonts w:ascii="Trebuchet MS" w:hAnsi="Trebuchet MS" w:cs="Arial"/>
          <w:color w:val="5F5F5F"/>
          <w:sz w:val="20"/>
          <w:szCs w:val="20"/>
        </w:rPr>
        <w:t>5.692</w:t>
      </w:r>
      <w:r w:rsidR="0062765B" w:rsidRPr="00D554C2">
        <w:rPr>
          <w:rFonts w:ascii="Trebuchet MS" w:hAnsi="Trebuchet MS" w:cs="Arial"/>
          <w:color w:val="5F5F5F"/>
          <w:sz w:val="20"/>
          <w:szCs w:val="20"/>
        </w:rPr>
        <w:t>residenti</w:t>
      </w:r>
      <w:r w:rsidRPr="00D554C2">
        <w:rPr>
          <w:rFonts w:ascii="Trebuchet MS" w:hAnsi="Trebuchet MS" w:cs="Arial"/>
          <w:color w:val="5F5F5F"/>
          <w:sz w:val="20"/>
          <w:szCs w:val="20"/>
        </w:rPr>
        <w:t>.</w:t>
      </w:r>
    </w:p>
    <w:p w:rsidR="00B5664A" w:rsidRPr="00D554C2" w:rsidRDefault="00B5664A" w:rsidP="005A141C">
      <w:pPr>
        <w:tabs>
          <w:tab w:val="left" w:pos="567"/>
        </w:tabs>
        <w:spacing w:after="120"/>
        <w:jc w:val="both"/>
        <w:rPr>
          <w:rFonts w:ascii="Trebuchet MS" w:hAnsi="Trebuchet MS" w:cs="Arial"/>
          <w:color w:val="5F5F5F"/>
          <w:sz w:val="20"/>
          <w:szCs w:val="20"/>
        </w:rPr>
      </w:pPr>
      <w:r w:rsidRPr="00D554C2">
        <w:rPr>
          <w:rFonts w:ascii="Trebuchet MS" w:hAnsi="Trebuchet MS" w:cs="Arial"/>
          <w:color w:val="5F5F5F"/>
          <w:sz w:val="20"/>
          <w:szCs w:val="20"/>
        </w:rPr>
        <w:t>Si rileva come la dinamica per genere favorisca la componente maschile (con un tasso di crescita medio-annuo del 9,</w:t>
      </w:r>
      <w:r w:rsidR="00F370CE" w:rsidRPr="00D554C2">
        <w:rPr>
          <w:rFonts w:ascii="Trebuchet MS" w:hAnsi="Trebuchet MS" w:cs="Arial"/>
          <w:color w:val="5F5F5F"/>
          <w:sz w:val="20"/>
          <w:szCs w:val="20"/>
        </w:rPr>
        <w:t>5</w:t>
      </w:r>
      <w:r w:rsidRPr="00D554C2">
        <w:rPr>
          <w:rFonts w:ascii="Trebuchet MS" w:hAnsi="Trebuchet MS" w:cs="Arial"/>
          <w:color w:val="5F5F5F"/>
          <w:sz w:val="20"/>
          <w:szCs w:val="20"/>
        </w:rPr>
        <w:t>% contro il 5,</w:t>
      </w:r>
      <w:r w:rsidR="00F370CE" w:rsidRPr="00D554C2">
        <w:rPr>
          <w:rFonts w:ascii="Trebuchet MS" w:hAnsi="Trebuchet MS" w:cs="Arial"/>
          <w:color w:val="5F5F5F"/>
          <w:sz w:val="20"/>
          <w:szCs w:val="20"/>
        </w:rPr>
        <w:t>3</w:t>
      </w:r>
      <w:r w:rsidRPr="00D554C2">
        <w:rPr>
          <w:rFonts w:ascii="Trebuchet MS" w:hAnsi="Trebuchet MS" w:cs="Arial"/>
          <w:color w:val="5F5F5F"/>
          <w:sz w:val="20"/>
          <w:szCs w:val="20"/>
        </w:rPr>
        <w:t>% delle donne), circostanza che riporta in equilibrio numerico i due sessi dopo una netta prevalenza di donne nel 2011 (</w:t>
      </w:r>
      <w:r w:rsidR="008F58BD">
        <w:rPr>
          <w:rFonts w:ascii="Trebuchet MS" w:hAnsi="Trebuchet MS" w:cs="Arial"/>
          <w:color w:val="5F5F5F"/>
          <w:sz w:val="20"/>
          <w:szCs w:val="20"/>
        </w:rPr>
        <w:t xml:space="preserve">la percentuale di donne scende dal </w:t>
      </w:r>
      <w:r w:rsidRPr="00D554C2">
        <w:rPr>
          <w:rFonts w:ascii="Trebuchet MS" w:hAnsi="Trebuchet MS" w:cs="Arial"/>
          <w:color w:val="5F5F5F"/>
          <w:sz w:val="20"/>
          <w:szCs w:val="20"/>
        </w:rPr>
        <w:t>5</w:t>
      </w:r>
      <w:r w:rsidR="00F370CE" w:rsidRPr="00D554C2">
        <w:rPr>
          <w:rFonts w:ascii="Trebuchet MS" w:hAnsi="Trebuchet MS" w:cs="Arial"/>
          <w:color w:val="5F5F5F"/>
          <w:sz w:val="20"/>
          <w:szCs w:val="20"/>
        </w:rPr>
        <w:t>7</w:t>
      </w:r>
      <w:r w:rsidRPr="00D554C2">
        <w:rPr>
          <w:rFonts w:ascii="Trebuchet MS" w:hAnsi="Trebuchet MS" w:cs="Arial"/>
          <w:color w:val="5F5F5F"/>
          <w:sz w:val="20"/>
          <w:szCs w:val="20"/>
        </w:rPr>
        <w:t>,</w:t>
      </w:r>
      <w:r w:rsidR="00F370CE" w:rsidRPr="00D554C2">
        <w:rPr>
          <w:rFonts w:ascii="Trebuchet MS" w:hAnsi="Trebuchet MS" w:cs="Arial"/>
          <w:color w:val="5F5F5F"/>
          <w:sz w:val="20"/>
          <w:szCs w:val="20"/>
        </w:rPr>
        <w:t>5</w:t>
      </w:r>
      <w:r w:rsidRPr="00D554C2">
        <w:rPr>
          <w:rFonts w:ascii="Trebuchet MS" w:hAnsi="Trebuchet MS" w:cs="Arial"/>
          <w:color w:val="5F5F5F"/>
          <w:sz w:val="20"/>
          <w:szCs w:val="20"/>
        </w:rPr>
        <w:t>%</w:t>
      </w:r>
      <w:r w:rsidR="008F58BD">
        <w:rPr>
          <w:rFonts w:ascii="Trebuchet MS" w:hAnsi="Trebuchet MS" w:cs="Arial"/>
          <w:color w:val="5F5F5F"/>
          <w:sz w:val="20"/>
          <w:szCs w:val="20"/>
        </w:rPr>
        <w:t xml:space="preserve"> al 49,8%</w:t>
      </w:r>
      <w:r w:rsidRPr="00D554C2">
        <w:rPr>
          <w:rFonts w:ascii="Trebuchet MS" w:hAnsi="Trebuchet MS" w:cs="Arial"/>
          <w:color w:val="5F5F5F"/>
          <w:sz w:val="20"/>
          <w:szCs w:val="20"/>
        </w:rPr>
        <w:t>).</w:t>
      </w:r>
    </w:p>
    <w:p w:rsidR="005A141C" w:rsidRPr="002174A0" w:rsidRDefault="00F370CE" w:rsidP="00D554C2">
      <w:pPr>
        <w:tabs>
          <w:tab w:val="left" w:pos="567"/>
        </w:tabs>
        <w:spacing w:after="120"/>
        <w:jc w:val="both"/>
        <w:rPr>
          <w:rFonts w:ascii="Trebuchet MS" w:hAnsi="Trebuchet MS" w:cs="Arial"/>
          <w:color w:val="5F5F5F"/>
          <w:sz w:val="20"/>
          <w:szCs w:val="20"/>
          <w:highlight w:val="yellow"/>
        </w:rPr>
      </w:pPr>
      <w:r w:rsidRPr="00D554C2">
        <w:rPr>
          <w:rFonts w:ascii="Trebuchet MS" w:hAnsi="Trebuchet MS" w:cs="Arial"/>
          <w:color w:val="5F5F5F"/>
          <w:sz w:val="20"/>
          <w:szCs w:val="20"/>
        </w:rPr>
        <w:t xml:space="preserve">La provincia di Potenza conta 11.805 cittadini stranieri, </w:t>
      </w:r>
      <w:r w:rsidR="005A141C" w:rsidRPr="00D554C2">
        <w:rPr>
          <w:rFonts w:ascii="Trebuchet MS" w:hAnsi="Trebuchet MS" w:cs="Arial"/>
          <w:color w:val="5F5F5F"/>
          <w:sz w:val="20"/>
          <w:szCs w:val="20"/>
        </w:rPr>
        <w:t xml:space="preserve">pari al </w:t>
      </w:r>
      <w:r w:rsidRPr="00D554C2">
        <w:rPr>
          <w:rFonts w:ascii="Trebuchet MS" w:hAnsi="Trebuchet MS" w:cs="Arial"/>
          <w:color w:val="5F5F5F"/>
          <w:sz w:val="20"/>
          <w:szCs w:val="20"/>
        </w:rPr>
        <w:t>52,5</w:t>
      </w:r>
      <w:r w:rsidR="005A141C" w:rsidRPr="00D554C2">
        <w:rPr>
          <w:rFonts w:ascii="Trebuchet MS" w:hAnsi="Trebuchet MS" w:cs="Arial"/>
          <w:color w:val="5F5F5F"/>
          <w:sz w:val="20"/>
          <w:szCs w:val="20"/>
        </w:rPr>
        <w:t>% del totale</w:t>
      </w:r>
      <w:r w:rsidRPr="00D554C2">
        <w:rPr>
          <w:rFonts w:ascii="Trebuchet MS" w:hAnsi="Trebuchet MS" w:cs="Arial"/>
          <w:color w:val="5F5F5F"/>
          <w:sz w:val="20"/>
          <w:szCs w:val="20"/>
        </w:rPr>
        <w:t xml:space="preserve">. I restanti 10.714 stranieri </w:t>
      </w:r>
      <w:r w:rsidR="00D5536E" w:rsidRPr="00D554C2">
        <w:rPr>
          <w:rFonts w:ascii="Trebuchet MS" w:hAnsi="Trebuchet MS" w:cs="Arial"/>
          <w:color w:val="5F5F5F"/>
          <w:sz w:val="20"/>
          <w:szCs w:val="20"/>
        </w:rPr>
        <w:t>risiedono</w:t>
      </w:r>
      <w:r w:rsidRPr="00D554C2">
        <w:rPr>
          <w:rFonts w:ascii="Trebuchet MS" w:hAnsi="Trebuchet MS" w:cs="Arial"/>
          <w:color w:val="5F5F5F"/>
          <w:sz w:val="20"/>
          <w:szCs w:val="20"/>
        </w:rPr>
        <w:t xml:space="preserve"> in provincia di Matera, dove si registra la crescita più sostenuta</w:t>
      </w:r>
      <w:r w:rsidR="00D554C2" w:rsidRPr="00D554C2">
        <w:rPr>
          <w:rFonts w:ascii="Trebuchet MS" w:hAnsi="Trebuchet MS" w:cs="Arial"/>
          <w:color w:val="5F5F5F"/>
          <w:sz w:val="20"/>
          <w:szCs w:val="20"/>
        </w:rPr>
        <w:t xml:space="preserve"> rispetto al 2011 (il tasso medio annuo è del 6,9% in provincia di Potenza e del 7,6% in quella di Matera).</w:t>
      </w:r>
    </w:p>
    <w:p w:rsidR="005A141C" w:rsidRDefault="005A141C" w:rsidP="005A141C">
      <w:pPr>
        <w:tabs>
          <w:tab w:val="left" w:pos="567"/>
        </w:tabs>
        <w:spacing w:after="120"/>
        <w:jc w:val="both"/>
        <w:rPr>
          <w:rFonts w:ascii="Trebuchet MS" w:hAnsi="Trebuchet MS" w:cs="Arial"/>
          <w:color w:val="5F5F5F"/>
          <w:sz w:val="20"/>
          <w:szCs w:val="20"/>
        </w:rPr>
      </w:pPr>
      <w:r w:rsidRPr="009D36B8">
        <w:rPr>
          <w:rFonts w:ascii="Trebuchet MS" w:hAnsi="Trebuchet MS" w:cs="Arial"/>
          <w:color w:val="5F5F5F"/>
          <w:sz w:val="20"/>
          <w:szCs w:val="20"/>
        </w:rPr>
        <w:t xml:space="preserve">Più in generale, tra il 2011 e il 2019 sono </w:t>
      </w:r>
      <w:r w:rsidR="009D36B8" w:rsidRPr="009D36B8">
        <w:rPr>
          <w:rFonts w:ascii="Trebuchet MS" w:hAnsi="Trebuchet MS" w:cs="Arial"/>
          <w:color w:val="5F5F5F"/>
          <w:sz w:val="20"/>
          <w:szCs w:val="20"/>
        </w:rPr>
        <w:t>13</w:t>
      </w:r>
      <w:r w:rsidRPr="009D36B8">
        <w:rPr>
          <w:rFonts w:ascii="Trebuchet MS" w:hAnsi="Trebuchet MS" w:cs="Arial"/>
          <w:color w:val="5F5F5F"/>
          <w:sz w:val="20"/>
          <w:szCs w:val="20"/>
        </w:rPr>
        <w:t xml:space="preserve"> i Comuni che perdono popolazione straniera</w:t>
      </w:r>
      <w:r w:rsidR="009D36B8" w:rsidRPr="009D36B8">
        <w:rPr>
          <w:rFonts w:ascii="Trebuchet MS" w:hAnsi="Trebuchet MS" w:cs="Arial"/>
          <w:color w:val="5F5F5F"/>
          <w:sz w:val="20"/>
          <w:szCs w:val="20"/>
        </w:rPr>
        <w:t>,</w:t>
      </w:r>
      <w:r w:rsidRPr="009D36B8">
        <w:rPr>
          <w:rFonts w:ascii="Trebuchet MS" w:hAnsi="Trebuchet MS" w:cs="Arial"/>
          <w:color w:val="5F5F5F"/>
          <w:sz w:val="20"/>
          <w:szCs w:val="20"/>
        </w:rPr>
        <w:t xml:space="preserve"> il loro peso complessivo </w:t>
      </w:r>
      <w:r w:rsidR="009D36B8" w:rsidRPr="009D36B8">
        <w:rPr>
          <w:rFonts w:ascii="Trebuchet MS" w:hAnsi="Trebuchet MS" w:cs="Arial"/>
          <w:color w:val="5F5F5F"/>
          <w:sz w:val="20"/>
          <w:szCs w:val="20"/>
        </w:rPr>
        <w:t>è pari al 2,4%</w:t>
      </w:r>
      <w:r w:rsidR="008F58BD">
        <w:rPr>
          <w:rFonts w:ascii="Trebuchet MS" w:hAnsi="Trebuchet MS" w:cs="Arial"/>
          <w:color w:val="5F5F5F"/>
          <w:sz w:val="20"/>
          <w:szCs w:val="20"/>
        </w:rPr>
        <w:t xml:space="preserve"> de</w:t>
      </w:r>
      <w:r w:rsidR="008F58BD" w:rsidRPr="009D36B8">
        <w:rPr>
          <w:rFonts w:ascii="Trebuchet MS" w:hAnsi="Trebuchet MS" w:cs="Arial"/>
          <w:color w:val="5F5F5F"/>
          <w:sz w:val="20"/>
          <w:szCs w:val="20"/>
        </w:rPr>
        <w:t>l totale stranieri</w:t>
      </w:r>
      <w:r w:rsidRPr="009D36B8">
        <w:rPr>
          <w:rFonts w:ascii="Trebuchet MS" w:hAnsi="Trebuchet MS" w:cs="Arial"/>
          <w:color w:val="5F5F5F"/>
          <w:sz w:val="20"/>
          <w:szCs w:val="20"/>
        </w:rPr>
        <w:t xml:space="preserve">. </w:t>
      </w:r>
      <w:r w:rsidR="00E31467">
        <w:rPr>
          <w:rFonts w:ascii="Trebuchet MS" w:hAnsi="Trebuchet MS" w:cs="Arial"/>
          <w:color w:val="5F5F5F"/>
          <w:sz w:val="20"/>
          <w:szCs w:val="20"/>
        </w:rPr>
        <w:t>Invece i</w:t>
      </w:r>
      <w:r w:rsidR="009D36B8" w:rsidRPr="009D36B8">
        <w:rPr>
          <w:rFonts w:ascii="Trebuchet MS" w:hAnsi="Trebuchet MS" w:cs="Arial"/>
          <w:color w:val="5F5F5F"/>
          <w:sz w:val="20"/>
          <w:szCs w:val="20"/>
        </w:rPr>
        <w:t>31</w:t>
      </w:r>
      <w:r w:rsidRPr="009D36B8">
        <w:rPr>
          <w:rFonts w:ascii="Trebuchet MS" w:hAnsi="Trebuchet MS" w:cs="Arial"/>
          <w:color w:val="5F5F5F"/>
          <w:sz w:val="20"/>
          <w:szCs w:val="20"/>
        </w:rPr>
        <w:t xml:space="preserve"> comuni </w:t>
      </w:r>
      <w:r w:rsidR="0050033F" w:rsidRPr="009D36B8">
        <w:rPr>
          <w:rFonts w:ascii="Trebuchet MS" w:hAnsi="Trebuchet MS" w:cs="Arial"/>
          <w:color w:val="5F5F5F"/>
          <w:sz w:val="20"/>
          <w:szCs w:val="20"/>
        </w:rPr>
        <w:t>in cui la</w:t>
      </w:r>
      <w:r w:rsidRPr="009D36B8">
        <w:rPr>
          <w:rFonts w:ascii="Trebuchet MS" w:hAnsi="Trebuchet MS" w:cs="Arial"/>
          <w:color w:val="5F5F5F"/>
          <w:sz w:val="20"/>
          <w:szCs w:val="20"/>
        </w:rPr>
        <w:t xml:space="preserve"> crescita medi</w:t>
      </w:r>
      <w:r w:rsidR="0050033F" w:rsidRPr="009D36B8">
        <w:rPr>
          <w:rFonts w:ascii="Trebuchet MS" w:hAnsi="Trebuchet MS" w:cs="Arial"/>
          <w:color w:val="5F5F5F"/>
          <w:sz w:val="20"/>
          <w:szCs w:val="20"/>
        </w:rPr>
        <w:t>a</w:t>
      </w:r>
      <w:r w:rsidRPr="009D36B8">
        <w:rPr>
          <w:rFonts w:ascii="Trebuchet MS" w:hAnsi="Trebuchet MS" w:cs="Arial"/>
          <w:color w:val="5F5F5F"/>
          <w:sz w:val="20"/>
          <w:szCs w:val="20"/>
        </w:rPr>
        <w:t xml:space="preserve"> annua della popolazione straniera è superiore al 10% pesano complessivamente per circa il </w:t>
      </w:r>
      <w:r w:rsidR="009D36B8" w:rsidRPr="009D36B8">
        <w:rPr>
          <w:rFonts w:ascii="Trebuchet MS" w:hAnsi="Trebuchet MS" w:cs="Arial"/>
          <w:color w:val="5F5F5F"/>
          <w:sz w:val="20"/>
          <w:szCs w:val="20"/>
        </w:rPr>
        <w:t>33,1</w:t>
      </w:r>
      <w:r w:rsidRPr="009D36B8">
        <w:rPr>
          <w:rFonts w:ascii="Trebuchet MS" w:hAnsi="Trebuchet MS" w:cs="Arial"/>
          <w:color w:val="5F5F5F"/>
          <w:sz w:val="20"/>
          <w:szCs w:val="20"/>
        </w:rPr>
        <w:t>% del totale.</w:t>
      </w:r>
    </w:p>
    <w:p w:rsidR="005A141C" w:rsidRPr="00710C34" w:rsidRDefault="005A141C" w:rsidP="00E31467">
      <w:pPr>
        <w:keepNext/>
        <w:keepLines/>
        <w:spacing w:before="240" w:after="60"/>
        <w:jc w:val="both"/>
        <w:rPr>
          <w:rFonts w:ascii="Arial Narrow" w:hAnsi="Arial Narrow"/>
          <w:color w:val="595959" w:themeColor="text1" w:themeTint="A6"/>
          <w:sz w:val="20"/>
          <w:szCs w:val="20"/>
        </w:rPr>
      </w:pPr>
      <w:r w:rsidRPr="00710C34">
        <w:rPr>
          <w:rFonts w:ascii="Arial Narrow" w:hAnsi="Arial Narrow"/>
          <w:b/>
          <w:bCs/>
          <w:color w:val="595959" w:themeColor="text1" w:themeTint="A6"/>
          <w:sz w:val="22"/>
          <w:szCs w:val="22"/>
        </w:rPr>
        <w:lastRenderedPageBreak/>
        <w:t xml:space="preserve">PROSPETTO 6. </w:t>
      </w:r>
      <w:r w:rsidRPr="00710C34">
        <w:rPr>
          <w:rFonts w:ascii="Arial Narrow" w:hAnsi="Arial Narrow"/>
          <w:color w:val="595959" w:themeColor="text1" w:themeTint="A6"/>
          <w:sz w:val="22"/>
          <w:szCs w:val="22"/>
        </w:rPr>
        <w:t xml:space="preserve">POPOLAZIONE STRANIERA PER </w:t>
      </w:r>
      <w:r w:rsidR="0050033F">
        <w:rPr>
          <w:rFonts w:ascii="Arial Narrow" w:hAnsi="Arial Narrow"/>
          <w:color w:val="595959" w:themeColor="text1" w:themeTint="A6"/>
          <w:sz w:val="22"/>
          <w:szCs w:val="22"/>
        </w:rPr>
        <w:t>GENERE</w:t>
      </w:r>
      <w:r w:rsidRPr="00710C34">
        <w:rPr>
          <w:rFonts w:ascii="Arial Narrow" w:hAnsi="Arial Narrow"/>
          <w:color w:val="595959" w:themeColor="text1" w:themeTint="A6"/>
          <w:sz w:val="22"/>
          <w:szCs w:val="22"/>
        </w:rPr>
        <w:t>E PROVINCIA</w:t>
      </w:r>
      <w:r w:rsidR="00D203BA" w:rsidRPr="00710C34">
        <w:rPr>
          <w:rFonts w:ascii="Arial Narrow" w:hAnsi="Arial Narrow"/>
          <w:color w:val="595959" w:themeColor="text1" w:themeTint="A6"/>
          <w:sz w:val="22"/>
          <w:szCs w:val="22"/>
        </w:rPr>
        <w:t xml:space="preserve">. </w:t>
      </w:r>
      <w:r w:rsidRPr="00710C34">
        <w:rPr>
          <w:rFonts w:ascii="Arial Narrow" w:hAnsi="Arial Narrow"/>
          <w:color w:val="595959" w:themeColor="text1" w:themeTint="A6"/>
          <w:sz w:val="20"/>
          <w:szCs w:val="20"/>
        </w:rPr>
        <w:t>Anni 2019, 2018</w:t>
      </w:r>
      <w:r w:rsidR="00B5664A">
        <w:rPr>
          <w:rFonts w:ascii="Arial Narrow" w:hAnsi="Arial Narrow"/>
          <w:color w:val="595959" w:themeColor="text1" w:themeTint="A6"/>
          <w:sz w:val="20"/>
          <w:szCs w:val="20"/>
        </w:rPr>
        <w:t xml:space="preserve"> e </w:t>
      </w:r>
      <w:r w:rsidRPr="00710C34">
        <w:rPr>
          <w:rFonts w:ascii="Arial Narrow" w:hAnsi="Arial Narrow"/>
          <w:color w:val="595959" w:themeColor="text1" w:themeTint="A6"/>
          <w:sz w:val="20"/>
          <w:szCs w:val="20"/>
        </w:rPr>
        <w:t>2011</w:t>
      </w:r>
      <w:r w:rsidR="00710C34" w:rsidRPr="00710C34">
        <w:rPr>
          <w:rFonts w:ascii="Arial Narrow" w:hAnsi="Arial Narrow"/>
          <w:color w:val="595959" w:themeColor="text1" w:themeTint="A6"/>
          <w:sz w:val="20"/>
          <w:szCs w:val="20"/>
        </w:rPr>
        <w:t>. V</w:t>
      </w:r>
      <w:r w:rsidRPr="00710C34">
        <w:rPr>
          <w:rFonts w:ascii="Arial Narrow" w:hAnsi="Arial Narrow"/>
          <w:color w:val="595959" w:themeColor="text1" w:themeTint="A6"/>
          <w:sz w:val="20"/>
          <w:szCs w:val="20"/>
        </w:rPr>
        <w:t>alori assoluti e percentuali</w:t>
      </w:r>
    </w:p>
    <w:tbl>
      <w:tblPr>
        <w:tblW w:w="5000" w:type="pct"/>
        <w:tblBorders>
          <w:top w:val="single" w:sz="4" w:space="0" w:color="auto"/>
          <w:bottom w:val="single" w:sz="4" w:space="0" w:color="auto"/>
          <w:insideH w:val="single" w:sz="4" w:space="0" w:color="auto"/>
        </w:tblBorders>
        <w:tblCellMar>
          <w:left w:w="70" w:type="dxa"/>
          <w:right w:w="70" w:type="dxa"/>
        </w:tblCellMar>
        <w:tblLook w:val="04A0"/>
      </w:tblPr>
      <w:tblGrid>
        <w:gridCol w:w="2384"/>
        <w:gridCol w:w="855"/>
        <w:gridCol w:w="737"/>
        <w:gridCol w:w="855"/>
        <w:gridCol w:w="737"/>
        <w:gridCol w:w="855"/>
        <w:gridCol w:w="737"/>
        <w:gridCol w:w="1222"/>
        <w:gridCol w:w="1396"/>
      </w:tblGrid>
      <w:tr w:rsidR="0061082E" w:rsidTr="00D43079">
        <w:trPr>
          <w:trHeight w:val="255"/>
        </w:trPr>
        <w:tc>
          <w:tcPr>
            <w:tcW w:w="1219" w:type="pct"/>
            <w:vMerge w:val="restart"/>
            <w:shd w:val="clear" w:color="auto" w:fill="auto"/>
            <w:noWrap/>
            <w:vAlign w:val="center"/>
            <w:hideMark/>
          </w:tcPr>
          <w:p w:rsidR="0061082E" w:rsidRDefault="0061082E" w:rsidP="00E31467">
            <w:pPr>
              <w:keepNext/>
              <w:keepLines/>
              <w:rPr>
                <w:rFonts w:ascii="Arial Narrow" w:hAnsi="Arial Narrow" w:cs="Calibri"/>
                <w:b/>
                <w:bCs/>
                <w:color w:val="000000"/>
                <w:sz w:val="18"/>
                <w:szCs w:val="18"/>
              </w:rPr>
            </w:pPr>
            <w:r>
              <w:rPr>
                <w:rFonts w:ascii="Arial Narrow" w:hAnsi="Arial Narrow" w:cs="Calibri"/>
                <w:b/>
                <w:bCs/>
                <w:color w:val="000000"/>
                <w:sz w:val="18"/>
                <w:szCs w:val="18"/>
              </w:rPr>
              <w:t>SESSO E PROVINCIA</w:t>
            </w:r>
          </w:p>
        </w:tc>
        <w:tc>
          <w:tcPr>
            <w:tcW w:w="814" w:type="pct"/>
            <w:gridSpan w:val="2"/>
            <w:shd w:val="clear" w:color="000000" w:fill="D9D9D9"/>
            <w:noWrap/>
            <w:vAlign w:val="center"/>
            <w:hideMark/>
          </w:tcPr>
          <w:p w:rsidR="0061082E" w:rsidRDefault="0061082E" w:rsidP="00E31467">
            <w:pPr>
              <w:keepNext/>
              <w:keepLines/>
              <w:jc w:val="center"/>
              <w:rPr>
                <w:rFonts w:ascii="Arial Narrow" w:hAnsi="Arial Narrow" w:cs="Calibri"/>
                <w:b/>
                <w:bCs/>
                <w:color w:val="000000"/>
                <w:sz w:val="18"/>
                <w:szCs w:val="18"/>
              </w:rPr>
            </w:pPr>
            <w:r>
              <w:rPr>
                <w:rFonts w:ascii="Arial Narrow" w:hAnsi="Arial Narrow" w:cs="Calibri"/>
                <w:b/>
                <w:bCs/>
                <w:color w:val="000000"/>
                <w:sz w:val="18"/>
                <w:szCs w:val="18"/>
              </w:rPr>
              <w:t>Anno 2019</w:t>
            </w:r>
          </w:p>
        </w:tc>
        <w:tc>
          <w:tcPr>
            <w:tcW w:w="814" w:type="pct"/>
            <w:gridSpan w:val="2"/>
            <w:shd w:val="clear" w:color="auto" w:fill="auto"/>
            <w:noWrap/>
            <w:vAlign w:val="center"/>
            <w:hideMark/>
          </w:tcPr>
          <w:p w:rsidR="0061082E" w:rsidRDefault="0061082E" w:rsidP="00E31467">
            <w:pPr>
              <w:keepNext/>
              <w:keepLines/>
              <w:jc w:val="center"/>
              <w:rPr>
                <w:rFonts w:ascii="Arial Narrow" w:hAnsi="Arial Narrow" w:cs="Calibri"/>
                <w:b/>
                <w:bCs/>
                <w:color w:val="000000"/>
                <w:sz w:val="18"/>
                <w:szCs w:val="18"/>
              </w:rPr>
            </w:pPr>
            <w:r>
              <w:rPr>
                <w:rFonts w:ascii="Arial Narrow" w:hAnsi="Arial Narrow" w:cs="Calibri"/>
                <w:b/>
                <w:bCs/>
                <w:color w:val="000000"/>
                <w:sz w:val="18"/>
                <w:szCs w:val="18"/>
              </w:rPr>
              <w:t>Anno 2018</w:t>
            </w:r>
          </w:p>
        </w:tc>
        <w:tc>
          <w:tcPr>
            <w:tcW w:w="814" w:type="pct"/>
            <w:gridSpan w:val="2"/>
            <w:shd w:val="clear" w:color="000000" w:fill="D9D9D9"/>
            <w:noWrap/>
            <w:vAlign w:val="center"/>
            <w:hideMark/>
          </w:tcPr>
          <w:p w:rsidR="0061082E" w:rsidRDefault="0061082E" w:rsidP="00E31467">
            <w:pPr>
              <w:keepNext/>
              <w:keepLines/>
              <w:jc w:val="center"/>
              <w:rPr>
                <w:rFonts w:ascii="Arial Narrow" w:hAnsi="Arial Narrow" w:cs="Calibri"/>
                <w:b/>
                <w:bCs/>
                <w:color w:val="000000"/>
                <w:sz w:val="18"/>
                <w:szCs w:val="18"/>
              </w:rPr>
            </w:pPr>
            <w:r>
              <w:rPr>
                <w:rFonts w:ascii="Arial Narrow" w:hAnsi="Arial Narrow" w:cs="Calibri"/>
                <w:b/>
                <w:bCs/>
                <w:color w:val="000000"/>
                <w:sz w:val="18"/>
                <w:szCs w:val="18"/>
              </w:rPr>
              <w:t>Anno 2011</w:t>
            </w:r>
          </w:p>
        </w:tc>
        <w:tc>
          <w:tcPr>
            <w:tcW w:w="1339" w:type="pct"/>
            <w:gridSpan w:val="2"/>
            <w:shd w:val="clear" w:color="auto" w:fill="auto"/>
            <w:noWrap/>
            <w:vAlign w:val="center"/>
            <w:hideMark/>
          </w:tcPr>
          <w:p w:rsidR="0061082E" w:rsidRDefault="0061082E" w:rsidP="00E31467">
            <w:pPr>
              <w:keepNext/>
              <w:keepLines/>
              <w:jc w:val="center"/>
              <w:rPr>
                <w:rFonts w:ascii="Arial Narrow" w:hAnsi="Arial Narrow" w:cs="Calibri"/>
                <w:b/>
                <w:bCs/>
                <w:color w:val="000000"/>
                <w:sz w:val="18"/>
                <w:szCs w:val="18"/>
              </w:rPr>
            </w:pPr>
            <w:r>
              <w:rPr>
                <w:rFonts w:ascii="Arial Narrow" w:hAnsi="Arial Narrow" w:cs="Calibri"/>
                <w:b/>
                <w:bCs/>
                <w:color w:val="000000"/>
                <w:sz w:val="18"/>
                <w:szCs w:val="18"/>
              </w:rPr>
              <w:t>Variazioni percentuali</w:t>
            </w:r>
          </w:p>
        </w:tc>
      </w:tr>
      <w:tr w:rsidR="0061082E" w:rsidTr="00D43079">
        <w:trPr>
          <w:trHeight w:val="255"/>
        </w:trPr>
        <w:tc>
          <w:tcPr>
            <w:tcW w:w="1219" w:type="pct"/>
            <w:vMerge/>
            <w:vAlign w:val="center"/>
            <w:hideMark/>
          </w:tcPr>
          <w:p w:rsidR="0061082E" w:rsidRDefault="0061082E" w:rsidP="00E31467">
            <w:pPr>
              <w:keepNext/>
              <w:keepLines/>
              <w:rPr>
                <w:rFonts w:ascii="Arial Narrow" w:hAnsi="Arial Narrow" w:cs="Calibri"/>
                <w:b/>
                <w:bCs/>
                <w:color w:val="000000"/>
                <w:sz w:val="18"/>
                <w:szCs w:val="18"/>
              </w:rPr>
            </w:pPr>
          </w:p>
        </w:tc>
        <w:tc>
          <w:tcPr>
            <w:tcW w:w="437" w:type="pct"/>
            <w:shd w:val="clear" w:color="auto" w:fill="auto"/>
            <w:noWrap/>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v.a</w:t>
            </w:r>
          </w:p>
        </w:tc>
        <w:tc>
          <w:tcPr>
            <w:tcW w:w="377" w:type="pct"/>
            <w:shd w:val="clear" w:color="auto" w:fill="auto"/>
            <w:noWrap/>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w:t>
            </w:r>
          </w:p>
        </w:tc>
        <w:tc>
          <w:tcPr>
            <w:tcW w:w="437" w:type="pct"/>
            <w:shd w:val="clear" w:color="auto" w:fill="auto"/>
            <w:noWrap/>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v.a.</w:t>
            </w:r>
          </w:p>
        </w:tc>
        <w:tc>
          <w:tcPr>
            <w:tcW w:w="377" w:type="pct"/>
            <w:shd w:val="clear" w:color="auto" w:fill="auto"/>
            <w:noWrap/>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w:t>
            </w:r>
          </w:p>
        </w:tc>
        <w:tc>
          <w:tcPr>
            <w:tcW w:w="437" w:type="pct"/>
            <w:shd w:val="clear" w:color="auto" w:fill="auto"/>
            <w:noWrap/>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v.a</w:t>
            </w:r>
          </w:p>
        </w:tc>
        <w:tc>
          <w:tcPr>
            <w:tcW w:w="377" w:type="pct"/>
            <w:shd w:val="clear" w:color="auto" w:fill="auto"/>
            <w:noWrap/>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w:t>
            </w:r>
          </w:p>
        </w:tc>
        <w:tc>
          <w:tcPr>
            <w:tcW w:w="625" w:type="pct"/>
            <w:shd w:val="clear" w:color="auto" w:fill="auto"/>
            <w:noWrap/>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2019-2018</w:t>
            </w:r>
          </w:p>
        </w:tc>
        <w:tc>
          <w:tcPr>
            <w:tcW w:w="714" w:type="pct"/>
            <w:shd w:val="clear" w:color="auto" w:fill="auto"/>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2019-2011</w:t>
            </w:r>
            <w:r>
              <w:rPr>
                <w:rFonts w:ascii="Arial Narrow" w:hAnsi="Arial Narrow" w:cs="Calibri"/>
                <w:color w:val="000000"/>
                <w:sz w:val="18"/>
                <w:szCs w:val="18"/>
                <w:vertAlign w:val="superscript"/>
              </w:rPr>
              <w:t>(a)</w:t>
            </w:r>
          </w:p>
        </w:tc>
      </w:tr>
      <w:tr w:rsidR="0061082E" w:rsidTr="00D43079">
        <w:trPr>
          <w:trHeight w:val="255"/>
        </w:trPr>
        <w:tc>
          <w:tcPr>
            <w:tcW w:w="1219" w:type="pct"/>
            <w:shd w:val="clear" w:color="000000" w:fill="C9321F"/>
            <w:noWrap/>
            <w:vAlign w:val="center"/>
            <w:hideMark/>
          </w:tcPr>
          <w:p w:rsidR="0061082E" w:rsidRDefault="0061082E" w:rsidP="00E31467">
            <w:pPr>
              <w:keepNext/>
              <w:keepLines/>
              <w:rPr>
                <w:rFonts w:ascii="Arial Narrow" w:hAnsi="Arial Narrow" w:cs="Calibri"/>
                <w:b/>
                <w:bCs/>
                <w:color w:val="FFFFFF"/>
                <w:sz w:val="18"/>
                <w:szCs w:val="18"/>
              </w:rPr>
            </w:pPr>
            <w:r>
              <w:rPr>
                <w:rFonts w:ascii="Arial Narrow" w:hAnsi="Arial Narrow" w:cs="Calibri"/>
                <w:b/>
                <w:bCs/>
                <w:color w:val="FFFFFF"/>
                <w:sz w:val="18"/>
                <w:szCs w:val="18"/>
              </w:rPr>
              <w:t>BASILICATA</w:t>
            </w:r>
          </w:p>
        </w:tc>
        <w:tc>
          <w:tcPr>
            <w:tcW w:w="437" w:type="pct"/>
            <w:shd w:val="clear" w:color="000000" w:fill="C9321F"/>
            <w:noWrap/>
            <w:vAlign w:val="center"/>
            <w:hideMark/>
          </w:tcPr>
          <w:p w:rsidR="0061082E" w:rsidRDefault="0061082E" w:rsidP="00E31467">
            <w:pPr>
              <w:keepNext/>
              <w:keepLines/>
              <w:jc w:val="right"/>
              <w:rPr>
                <w:rFonts w:ascii="Arial Narrow" w:hAnsi="Arial Narrow" w:cs="Calibri"/>
                <w:b/>
                <w:bCs/>
                <w:color w:val="FFFFFF"/>
                <w:sz w:val="18"/>
                <w:szCs w:val="18"/>
              </w:rPr>
            </w:pPr>
            <w:r>
              <w:rPr>
                <w:rFonts w:ascii="Arial Narrow" w:hAnsi="Arial Narrow" w:cs="Calibri"/>
                <w:b/>
                <w:bCs/>
                <w:color w:val="FFFFFF"/>
                <w:sz w:val="18"/>
                <w:szCs w:val="18"/>
              </w:rPr>
              <w:t>22.569</w:t>
            </w:r>
          </w:p>
        </w:tc>
        <w:tc>
          <w:tcPr>
            <w:tcW w:w="377" w:type="pct"/>
            <w:shd w:val="clear" w:color="000000" w:fill="C9321F"/>
            <w:noWrap/>
            <w:vAlign w:val="center"/>
            <w:hideMark/>
          </w:tcPr>
          <w:p w:rsidR="0061082E" w:rsidRDefault="0061082E" w:rsidP="00E31467">
            <w:pPr>
              <w:keepNext/>
              <w:keepLines/>
              <w:jc w:val="right"/>
              <w:rPr>
                <w:rFonts w:ascii="Arial Narrow" w:hAnsi="Arial Narrow" w:cs="Calibri"/>
                <w:b/>
                <w:bCs/>
                <w:color w:val="FFFFFF"/>
                <w:sz w:val="18"/>
                <w:szCs w:val="18"/>
              </w:rPr>
            </w:pPr>
            <w:r>
              <w:rPr>
                <w:rFonts w:ascii="Arial Narrow" w:hAnsi="Arial Narrow" w:cs="Calibri"/>
                <w:b/>
                <w:bCs/>
                <w:color w:val="FFFFFF"/>
                <w:sz w:val="18"/>
                <w:szCs w:val="18"/>
              </w:rPr>
              <w:t>100,0</w:t>
            </w:r>
          </w:p>
        </w:tc>
        <w:tc>
          <w:tcPr>
            <w:tcW w:w="437" w:type="pct"/>
            <w:shd w:val="clear" w:color="000000" w:fill="C9321F"/>
            <w:noWrap/>
            <w:vAlign w:val="center"/>
            <w:hideMark/>
          </w:tcPr>
          <w:p w:rsidR="0061082E" w:rsidRDefault="0061082E" w:rsidP="00E31467">
            <w:pPr>
              <w:keepNext/>
              <w:keepLines/>
              <w:jc w:val="right"/>
              <w:rPr>
                <w:rFonts w:ascii="Arial Narrow" w:hAnsi="Arial Narrow" w:cs="Calibri"/>
                <w:b/>
                <w:bCs/>
                <w:color w:val="FFFFFF"/>
                <w:sz w:val="18"/>
                <w:szCs w:val="18"/>
              </w:rPr>
            </w:pPr>
            <w:r>
              <w:rPr>
                <w:rFonts w:ascii="Arial Narrow" w:hAnsi="Arial Narrow" w:cs="Calibri"/>
                <w:b/>
                <w:bCs/>
                <w:color w:val="FFFFFF"/>
                <w:sz w:val="18"/>
                <w:szCs w:val="18"/>
              </w:rPr>
              <w:t>22.210</w:t>
            </w:r>
          </w:p>
        </w:tc>
        <w:tc>
          <w:tcPr>
            <w:tcW w:w="377" w:type="pct"/>
            <w:shd w:val="clear" w:color="000000" w:fill="C9321F"/>
            <w:noWrap/>
            <w:vAlign w:val="center"/>
            <w:hideMark/>
          </w:tcPr>
          <w:p w:rsidR="0061082E" w:rsidRDefault="0061082E" w:rsidP="00E31467">
            <w:pPr>
              <w:keepNext/>
              <w:keepLines/>
              <w:jc w:val="right"/>
              <w:rPr>
                <w:rFonts w:ascii="Arial Narrow" w:hAnsi="Arial Narrow" w:cs="Calibri"/>
                <w:b/>
                <w:bCs/>
                <w:color w:val="FFFFFF"/>
                <w:sz w:val="18"/>
                <w:szCs w:val="18"/>
              </w:rPr>
            </w:pPr>
            <w:r>
              <w:rPr>
                <w:rFonts w:ascii="Arial Narrow" w:hAnsi="Arial Narrow" w:cs="Calibri"/>
                <w:b/>
                <w:bCs/>
                <w:color w:val="FFFFFF"/>
                <w:sz w:val="18"/>
                <w:szCs w:val="18"/>
              </w:rPr>
              <w:t>100,0</w:t>
            </w:r>
          </w:p>
        </w:tc>
        <w:tc>
          <w:tcPr>
            <w:tcW w:w="437" w:type="pct"/>
            <w:shd w:val="clear" w:color="000000" w:fill="C9321F"/>
            <w:noWrap/>
            <w:vAlign w:val="center"/>
            <w:hideMark/>
          </w:tcPr>
          <w:p w:rsidR="0061082E" w:rsidRDefault="0061082E" w:rsidP="00E31467">
            <w:pPr>
              <w:keepNext/>
              <w:keepLines/>
              <w:jc w:val="right"/>
              <w:rPr>
                <w:rFonts w:ascii="Arial Narrow" w:hAnsi="Arial Narrow" w:cs="Calibri"/>
                <w:b/>
                <w:bCs/>
                <w:color w:val="FFFFFF"/>
                <w:sz w:val="18"/>
                <w:szCs w:val="18"/>
              </w:rPr>
            </w:pPr>
            <w:r>
              <w:rPr>
                <w:rFonts w:ascii="Arial Narrow" w:hAnsi="Arial Narrow" w:cs="Calibri"/>
                <w:b/>
                <w:bCs/>
                <w:color w:val="FFFFFF"/>
                <w:sz w:val="18"/>
                <w:szCs w:val="18"/>
              </w:rPr>
              <w:t>12.928</w:t>
            </w:r>
          </w:p>
        </w:tc>
        <w:tc>
          <w:tcPr>
            <w:tcW w:w="377" w:type="pct"/>
            <w:shd w:val="clear" w:color="000000" w:fill="C9321F"/>
            <w:noWrap/>
            <w:vAlign w:val="center"/>
            <w:hideMark/>
          </w:tcPr>
          <w:p w:rsidR="0061082E" w:rsidRDefault="0061082E" w:rsidP="00E31467">
            <w:pPr>
              <w:keepNext/>
              <w:keepLines/>
              <w:jc w:val="right"/>
              <w:rPr>
                <w:rFonts w:ascii="Arial Narrow" w:hAnsi="Arial Narrow" w:cs="Calibri"/>
                <w:b/>
                <w:bCs/>
                <w:color w:val="FFFFFF"/>
                <w:sz w:val="18"/>
                <w:szCs w:val="18"/>
              </w:rPr>
            </w:pPr>
            <w:r>
              <w:rPr>
                <w:rFonts w:ascii="Arial Narrow" w:hAnsi="Arial Narrow" w:cs="Calibri"/>
                <w:b/>
                <w:bCs/>
                <w:color w:val="FFFFFF"/>
                <w:sz w:val="18"/>
                <w:szCs w:val="18"/>
              </w:rPr>
              <w:t>100,0</w:t>
            </w:r>
          </w:p>
        </w:tc>
        <w:tc>
          <w:tcPr>
            <w:tcW w:w="625" w:type="pct"/>
            <w:shd w:val="clear" w:color="000000" w:fill="C9321F"/>
            <w:noWrap/>
            <w:vAlign w:val="center"/>
            <w:hideMark/>
          </w:tcPr>
          <w:p w:rsidR="0061082E" w:rsidRDefault="0061082E" w:rsidP="00E31467">
            <w:pPr>
              <w:keepNext/>
              <w:keepLines/>
              <w:jc w:val="right"/>
              <w:rPr>
                <w:rFonts w:ascii="Arial Narrow" w:hAnsi="Arial Narrow" w:cs="Calibri"/>
                <w:b/>
                <w:bCs/>
                <w:color w:val="FFFFFF"/>
                <w:sz w:val="18"/>
                <w:szCs w:val="18"/>
              </w:rPr>
            </w:pPr>
            <w:r>
              <w:rPr>
                <w:rFonts w:ascii="Arial Narrow" w:hAnsi="Arial Narrow" w:cs="Calibri"/>
                <w:b/>
                <w:bCs/>
                <w:color w:val="FFFFFF"/>
                <w:sz w:val="18"/>
                <w:szCs w:val="18"/>
              </w:rPr>
              <w:t>1,6</w:t>
            </w:r>
          </w:p>
        </w:tc>
        <w:tc>
          <w:tcPr>
            <w:tcW w:w="714" w:type="pct"/>
            <w:shd w:val="clear" w:color="000000" w:fill="C9321F"/>
            <w:noWrap/>
            <w:vAlign w:val="center"/>
            <w:hideMark/>
          </w:tcPr>
          <w:p w:rsidR="0061082E" w:rsidRDefault="0061082E" w:rsidP="00E31467">
            <w:pPr>
              <w:keepNext/>
              <w:keepLines/>
              <w:jc w:val="right"/>
              <w:rPr>
                <w:rFonts w:ascii="Arial Narrow" w:hAnsi="Arial Narrow" w:cs="Calibri"/>
                <w:b/>
                <w:bCs/>
                <w:color w:val="FFFFFF"/>
                <w:sz w:val="18"/>
                <w:szCs w:val="18"/>
              </w:rPr>
            </w:pPr>
            <w:r>
              <w:rPr>
                <w:rFonts w:ascii="Arial Narrow" w:hAnsi="Arial Narrow" w:cs="Calibri"/>
                <w:b/>
                <w:bCs/>
                <w:color w:val="FFFFFF"/>
                <w:sz w:val="18"/>
                <w:szCs w:val="18"/>
              </w:rPr>
              <w:t>7,2</w:t>
            </w:r>
          </w:p>
        </w:tc>
      </w:tr>
      <w:tr w:rsidR="0061082E" w:rsidTr="00D43079">
        <w:trPr>
          <w:trHeight w:val="255"/>
        </w:trPr>
        <w:tc>
          <w:tcPr>
            <w:tcW w:w="1219" w:type="pct"/>
            <w:shd w:val="clear" w:color="auto" w:fill="auto"/>
            <w:noWrap/>
            <w:vAlign w:val="center"/>
            <w:hideMark/>
          </w:tcPr>
          <w:p w:rsidR="0061082E" w:rsidRDefault="0061082E" w:rsidP="00E31467">
            <w:pPr>
              <w:keepNext/>
              <w:keepLines/>
              <w:ind w:firstLineChars="100" w:firstLine="180"/>
              <w:rPr>
                <w:rFonts w:ascii="Arial Narrow" w:hAnsi="Arial Narrow" w:cs="Calibri"/>
                <w:color w:val="000000"/>
                <w:sz w:val="18"/>
                <w:szCs w:val="18"/>
              </w:rPr>
            </w:pPr>
            <w:r>
              <w:rPr>
                <w:rFonts w:ascii="Arial Narrow" w:hAnsi="Arial Narrow" w:cs="Calibri"/>
                <w:color w:val="000000"/>
                <w:sz w:val="18"/>
                <w:szCs w:val="18"/>
              </w:rPr>
              <w:t>Maschi</w:t>
            </w:r>
          </w:p>
        </w:tc>
        <w:tc>
          <w:tcPr>
            <w:tcW w:w="437" w:type="pct"/>
            <w:shd w:val="clear" w:color="000000" w:fill="D9D9D9"/>
            <w:noWrap/>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11.320</w:t>
            </w:r>
          </w:p>
        </w:tc>
        <w:tc>
          <w:tcPr>
            <w:tcW w:w="377" w:type="pct"/>
            <w:shd w:val="clear" w:color="auto" w:fill="auto"/>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50,2</w:t>
            </w:r>
          </w:p>
        </w:tc>
        <w:tc>
          <w:tcPr>
            <w:tcW w:w="437" w:type="pct"/>
            <w:shd w:val="clear" w:color="000000" w:fill="D9D9D9"/>
            <w:noWrap/>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11.126</w:t>
            </w:r>
          </w:p>
        </w:tc>
        <w:tc>
          <w:tcPr>
            <w:tcW w:w="377" w:type="pct"/>
            <w:shd w:val="clear" w:color="auto" w:fill="auto"/>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50,1</w:t>
            </w:r>
          </w:p>
        </w:tc>
        <w:tc>
          <w:tcPr>
            <w:tcW w:w="437" w:type="pct"/>
            <w:shd w:val="clear" w:color="000000" w:fill="D9D9D9"/>
            <w:noWrap/>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5.495</w:t>
            </w:r>
          </w:p>
        </w:tc>
        <w:tc>
          <w:tcPr>
            <w:tcW w:w="377" w:type="pct"/>
            <w:shd w:val="clear" w:color="auto" w:fill="auto"/>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42,5</w:t>
            </w:r>
          </w:p>
        </w:tc>
        <w:tc>
          <w:tcPr>
            <w:tcW w:w="625" w:type="pct"/>
            <w:shd w:val="clear" w:color="000000" w:fill="D9D9D9"/>
            <w:noWrap/>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1,7</w:t>
            </w:r>
          </w:p>
        </w:tc>
        <w:tc>
          <w:tcPr>
            <w:tcW w:w="714" w:type="pct"/>
            <w:shd w:val="clear" w:color="auto" w:fill="auto"/>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9,5</w:t>
            </w:r>
          </w:p>
        </w:tc>
      </w:tr>
      <w:tr w:rsidR="0061082E" w:rsidTr="00D43079">
        <w:trPr>
          <w:trHeight w:val="255"/>
        </w:trPr>
        <w:tc>
          <w:tcPr>
            <w:tcW w:w="1219" w:type="pct"/>
            <w:shd w:val="clear" w:color="auto" w:fill="auto"/>
            <w:noWrap/>
            <w:vAlign w:val="center"/>
            <w:hideMark/>
          </w:tcPr>
          <w:p w:rsidR="0061082E" w:rsidRDefault="0061082E" w:rsidP="00E31467">
            <w:pPr>
              <w:keepNext/>
              <w:keepLines/>
              <w:ind w:firstLineChars="100" w:firstLine="180"/>
              <w:rPr>
                <w:rFonts w:ascii="Arial Narrow" w:hAnsi="Arial Narrow" w:cs="Calibri"/>
                <w:color w:val="000000"/>
                <w:sz w:val="18"/>
                <w:szCs w:val="18"/>
              </w:rPr>
            </w:pPr>
            <w:r>
              <w:rPr>
                <w:rFonts w:ascii="Arial Narrow" w:hAnsi="Arial Narrow" w:cs="Calibri"/>
                <w:color w:val="000000"/>
                <w:sz w:val="18"/>
                <w:szCs w:val="18"/>
              </w:rPr>
              <w:t>Femmine</w:t>
            </w:r>
          </w:p>
        </w:tc>
        <w:tc>
          <w:tcPr>
            <w:tcW w:w="437" w:type="pct"/>
            <w:shd w:val="clear" w:color="000000" w:fill="D9D9D9"/>
            <w:noWrap/>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11.249</w:t>
            </w:r>
          </w:p>
        </w:tc>
        <w:tc>
          <w:tcPr>
            <w:tcW w:w="377" w:type="pct"/>
            <w:shd w:val="clear" w:color="auto" w:fill="auto"/>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49,8</w:t>
            </w:r>
          </w:p>
        </w:tc>
        <w:tc>
          <w:tcPr>
            <w:tcW w:w="437" w:type="pct"/>
            <w:shd w:val="clear" w:color="000000" w:fill="D9D9D9"/>
            <w:noWrap/>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11.084</w:t>
            </w:r>
          </w:p>
        </w:tc>
        <w:tc>
          <w:tcPr>
            <w:tcW w:w="377" w:type="pct"/>
            <w:shd w:val="clear" w:color="auto" w:fill="auto"/>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49,9</w:t>
            </w:r>
          </w:p>
        </w:tc>
        <w:tc>
          <w:tcPr>
            <w:tcW w:w="437" w:type="pct"/>
            <w:shd w:val="clear" w:color="000000" w:fill="D9D9D9"/>
            <w:noWrap/>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7.433</w:t>
            </w:r>
          </w:p>
        </w:tc>
        <w:tc>
          <w:tcPr>
            <w:tcW w:w="377" w:type="pct"/>
            <w:shd w:val="clear" w:color="auto" w:fill="auto"/>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57,5</w:t>
            </w:r>
          </w:p>
        </w:tc>
        <w:tc>
          <w:tcPr>
            <w:tcW w:w="625" w:type="pct"/>
            <w:shd w:val="clear" w:color="000000" w:fill="D9D9D9"/>
            <w:noWrap/>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1,5</w:t>
            </w:r>
          </w:p>
        </w:tc>
        <w:tc>
          <w:tcPr>
            <w:tcW w:w="714" w:type="pct"/>
            <w:shd w:val="clear" w:color="auto" w:fill="auto"/>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5,3</w:t>
            </w:r>
          </w:p>
        </w:tc>
      </w:tr>
      <w:tr w:rsidR="002174A0" w:rsidTr="00D43079">
        <w:trPr>
          <w:trHeight w:val="255"/>
        </w:trPr>
        <w:tc>
          <w:tcPr>
            <w:tcW w:w="1219" w:type="pct"/>
            <w:shd w:val="clear" w:color="000000" w:fill="FFFFFF"/>
            <w:noWrap/>
            <w:vAlign w:val="center"/>
            <w:hideMark/>
          </w:tcPr>
          <w:p w:rsidR="0061082E" w:rsidRDefault="0061082E" w:rsidP="00E31467">
            <w:pPr>
              <w:keepNext/>
              <w:keepLines/>
              <w:ind w:firstLineChars="100" w:firstLine="180"/>
              <w:rPr>
                <w:rFonts w:ascii="Arial Narrow" w:hAnsi="Arial Narrow" w:cs="Calibri"/>
                <w:color w:val="000000"/>
                <w:sz w:val="18"/>
                <w:szCs w:val="18"/>
              </w:rPr>
            </w:pPr>
            <w:r>
              <w:rPr>
                <w:rFonts w:ascii="Arial Narrow" w:hAnsi="Arial Narrow" w:cs="Calibri"/>
                <w:color w:val="000000"/>
                <w:sz w:val="18"/>
                <w:szCs w:val="18"/>
              </w:rPr>
              <w:t> </w:t>
            </w:r>
          </w:p>
        </w:tc>
        <w:tc>
          <w:tcPr>
            <w:tcW w:w="437" w:type="pct"/>
            <w:shd w:val="clear" w:color="000000" w:fill="FFFFFF"/>
            <w:noWrap/>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 </w:t>
            </w:r>
          </w:p>
        </w:tc>
        <w:tc>
          <w:tcPr>
            <w:tcW w:w="377" w:type="pct"/>
            <w:shd w:val="clear" w:color="000000" w:fill="FFFFFF"/>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 </w:t>
            </w:r>
          </w:p>
        </w:tc>
        <w:tc>
          <w:tcPr>
            <w:tcW w:w="437" w:type="pct"/>
            <w:shd w:val="clear" w:color="000000" w:fill="FFFFFF"/>
            <w:noWrap/>
            <w:vAlign w:val="center"/>
            <w:hideMark/>
          </w:tcPr>
          <w:p w:rsidR="0061082E" w:rsidRDefault="0061082E" w:rsidP="00E31467">
            <w:pPr>
              <w:keepNext/>
              <w:keepLines/>
              <w:rPr>
                <w:rFonts w:ascii="Arial Narrow" w:hAnsi="Arial Narrow" w:cs="Calibri"/>
                <w:color w:val="000000"/>
                <w:sz w:val="18"/>
                <w:szCs w:val="18"/>
              </w:rPr>
            </w:pPr>
            <w:r>
              <w:rPr>
                <w:rFonts w:ascii="Arial Narrow" w:hAnsi="Arial Narrow" w:cs="Calibri"/>
                <w:color w:val="000000"/>
                <w:sz w:val="18"/>
                <w:szCs w:val="18"/>
              </w:rPr>
              <w:t> </w:t>
            </w:r>
          </w:p>
        </w:tc>
        <w:tc>
          <w:tcPr>
            <w:tcW w:w="377" w:type="pct"/>
            <w:shd w:val="clear" w:color="000000" w:fill="FFFFFF"/>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 </w:t>
            </w:r>
          </w:p>
        </w:tc>
        <w:tc>
          <w:tcPr>
            <w:tcW w:w="437" w:type="pct"/>
            <w:shd w:val="clear" w:color="000000" w:fill="FFFFFF"/>
            <w:noWrap/>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 </w:t>
            </w:r>
          </w:p>
        </w:tc>
        <w:tc>
          <w:tcPr>
            <w:tcW w:w="377" w:type="pct"/>
            <w:shd w:val="clear" w:color="000000" w:fill="FFFFFF"/>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 </w:t>
            </w:r>
          </w:p>
        </w:tc>
        <w:tc>
          <w:tcPr>
            <w:tcW w:w="625" w:type="pct"/>
            <w:shd w:val="clear" w:color="000000" w:fill="FFFFFF"/>
            <w:noWrap/>
            <w:vAlign w:val="center"/>
            <w:hideMark/>
          </w:tcPr>
          <w:p w:rsidR="0061082E" w:rsidRDefault="0061082E" w:rsidP="00E31467">
            <w:pPr>
              <w:keepNext/>
              <w:keepLines/>
              <w:rPr>
                <w:rFonts w:ascii="Arial Narrow" w:hAnsi="Arial Narrow" w:cs="Calibri"/>
                <w:color w:val="000000"/>
                <w:sz w:val="18"/>
                <w:szCs w:val="18"/>
              </w:rPr>
            </w:pPr>
            <w:r>
              <w:rPr>
                <w:rFonts w:ascii="Arial Narrow" w:hAnsi="Arial Narrow" w:cs="Calibri"/>
                <w:color w:val="000000"/>
                <w:sz w:val="18"/>
                <w:szCs w:val="18"/>
              </w:rPr>
              <w:t> </w:t>
            </w:r>
          </w:p>
        </w:tc>
        <w:tc>
          <w:tcPr>
            <w:tcW w:w="714" w:type="pct"/>
            <w:shd w:val="clear" w:color="000000" w:fill="FFFFFF"/>
            <w:noWrap/>
            <w:vAlign w:val="center"/>
            <w:hideMark/>
          </w:tcPr>
          <w:p w:rsidR="0061082E" w:rsidRDefault="0061082E" w:rsidP="00E31467">
            <w:pPr>
              <w:keepNext/>
              <w:keepLines/>
              <w:rPr>
                <w:rFonts w:ascii="Arial Narrow" w:hAnsi="Arial Narrow" w:cs="Calibri"/>
                <w:color w:val="000000"/>
                <w:sz w:val="18"/>
                <w:szCs w:val="18"/>
              </w:rPr>
            </w:pPr>
            <w:r>
              <w:rPr>
                <w:rFonts w:ascii="Arial Narrow" w:hAnsi="Arial Narrow" w:cs="Calibri"/>
                <w:color w:val="000000"/>
                <w:sz w:val="18"/>
                <w:szCs w:val="18"/>
              </w:rPr>
              <w:t> </w:t>
            </w:r>
          </w:p>
        </w:tc>
      </w:tr>
      <w:tr w:rsidR="0061082E" w:rsidTr="00D43079">
        <w:trPr>
          <w:trHeight w:val="255"/>
        </w:trPr>
        <w:tc>
          <w:tcPr>
            <w:tcW w:w="1219" w:type="pct"/>
            <w:shd w:val="clear" w:color="auto" w:fill="auto"/>
            <w:noWrap/>
            <w:vAlign w:val="center"/>
            <w:hideMark/>
          </w:tcPr>
          <w:p w:rsidR="0061082E" w:rsidRDefault="0061082E" w:rsidP="00E31467">
            <w:pPr>
              <w:keepNext/>
              <w:keepLines/>
              <w:ind w:firstLineChars="100" w:firstLine="180"/>
              <w:rPr>
                <w:rFonts w:ascii="Arial Narrow" w:hAnsi="Arial Narrow" w:cs="Calibri"/>
                <w:color w:val="000000"/>
                <w:sz w:val="18"/>
                <w:szCs w:val="18"/>
              </w:rPr>
            </w:pPr>
            <w:r>
              <w:rPr>
                <w:rFonts w:ascii="Arial Narrow" w:hAnsi="Arial Narrow" w:cs="Calibri"/>
                <w:color w:val="000000"/>
                <w:sz w:val="18"/>
                <w:szCs w:val="18"/>
              </w:rPr>
              <w:t>Potenza</w:t>
            </w:r>
          </w:p>
        </w:tc>
        <w:tc>
          <w:tcPr>
            <w:tcW w:w="437" w:type="pct"/>
            <w:shd w:val="clear" w:color="000000" w:fill="D9D9D9"/>
            <w:noWrap/>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11.855</w:t>
            </w:r>
          </w:p>
        </w:tc>
        <w:tc>
          <w:tcPr>
            <w:tcW w:w="377" w:type="pct"/>
            <w:shd w:val="clear" w:color="auto" w:fill="auto"/>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52,5</w:t>
            </w:r>
          </w:p>
        </w:tc>
        <w:tc>
          <w:tcPr>
            <w:tcW w:w="437" w:type="pct"/>
            <w:shd w:val="clear" w:color="000000" w:fill="D9D9D9"/>
            <w:noWrap/>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11.848</w:t>
            </w:r>
          </w:p>
        </w:tc>
        <w:tc>
          <w:tcPr>
            <w:tcW w:w="377" w:type="pct"/>
            <w:shd w:val="clear" w:color="auto" w:fill="auto"/>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53,3</w:t>
            </w:r>
          </w:p>
        </w:tc>
        <w:tc>
          <w:tcPr>
            <w:tcW w:w="437" w:type="pct"/>
            <w:shd w:val="clear" w:color="000000" w:fill="D9D9D9"/>
            <w:noWrap/>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6.959</w:t>
            </w:r>
          </w:p>
        </w:tc>
        <w:tc>
          <w:tcPr>
            <w:tcW w:w="377" w:type="pct"/>
            <w:shd w:val="clear" w:color="auto" w:fill="auto"/>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53,8</w:t>
            </w:r>
          </w:p>
        </w:tc>
        <w:tc>
          <w:tcPr>
            <w:tcW w:w="625" w:type="pct"/>
            <w:shd w:val="clear" w:color="000000" w:fill="D9D9D9"/>
            <w:noWrap/>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0,1</w:t>
            </w:r>
          </w:p>
        </w:tc>
        <w:tc>
          <w:tcPr>
            <w:tcW w:w="714" w:type="pct"/>
            <w:shd w:val="clear" w:color="auto" w:fill="auto"/>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6,9</w:t>
            </w:r>
          </w:p>
        </w:tc>
      </w:tr>
      <w:tr w:rsidR="0061082E" w:rsidTr="00D43079">
        <w:trPr>
          <w:trHeight w:val="255"/>
        </w:trPr>
        <w:tc>
          <w:tcPr>
            <w:tcW w:w="1219" w:type="pct"/>
            <w:shd w:val="clear" w:color="auto" w:fill="auto"/>
            <w:noWrap/>
            <w:vAlign w:val="center"/>
            <w:hideMark/>
          </w:tcPr>
          <w:p w:rsidR="0061082E" w:rsidRDefault="0061082E" w:rsidP="00E31467">
            <w:pPr>
              <w:keepNext/>
              <w:keepLines/>
              <w:ind w:firstLineChars="100" w:firstLine="180"/>
              <w:rPr>
                <w:rFonts w:ascii="Arial Narrow" w:hAnsi="Arial Narrow" w:cs="Calibri"/>
                <w:color w:val="000000"/>
                <w:sz w:val="18"/>
                <w:szCs w:val="18"/>
              </w:rPr>
            </w:pPr>
            <w:r>
              <w:rPr>
                <w:rFonts w:ascii="Arial Narrow" w:hAnsi="Arial Narrow" w:cs="Calibri"/>
                <w:color w:val="000000"/>
                <w:sz w:val="18"/>
                <w:szCs w:val="18"/>
              </w:rPr>
              <w:t>Matera</w:t>
            </w:r>
          </w:p>
        </w:tc>
        <w:tc>
          <w:tcPr>
            <w:tcW w:w="437" w:type="pct"/>
            <w:shd w:val="clear" w:color="000000" w:fill="D9D9D9"/>
            <w:noWrap/>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10.714</w:t>
            </w:r>
          </w:p>
        </w:tc>
        <w:tc>
          <w:tcPr>
            <w:tcW w:w="377" w:type="pct"/>
            <w:shd w:val="clear" w:color="auto" w:fill="auto"/>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47,5</w:t>
            </w:r>
          </w:p>
        </w:tc>
        <w:tc>
          <w:tcPr>
            <w:tcW w:w="437" w:type="pct"/>
            <w:shd w:val="clear" w:color="000000" w:fill="D9D9D9"/>
            <w:noWrap/>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10.362</w:t>
            </w:r>
          </w:p>
        </w:tc>
        <w:tc>
          <w:tcPr>
            <w:tcW w:w="377" w:type="pct"/>
            <w:shd w:val="clear" w:color="auto" w:fill="auto"/>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46,7</w:t>
            </w:r>
          </w:p>
        </w:tc>
        <w:tc>
          <w:tcPr>
            <w:tcW w:w="437" w:type="pct"/>
            <w:shd w:val="clear" w:color="000000" w:fill="D9D9D9"/>
            <w:noWrap/>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5.969</w:t>
            </w:r>
          </w:p>
        </w:tc>
        <w:tc>
          <w:tcPr>
            <w:tcW w:w="377" w:type="pct"/>
            <w:shd w:val="clear" w:color="auto" w:fill="auto"/>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46,2</w:t>
            </w:r>
          </w:p>
        </w:tc>
        <w:tc>
          <w:tcPr>
            <w:tcW w:w="625" w:type="pct"/>
            <w:shd w:val="clear" w:color="000000" w:fill="D9D9D9"/>
            <w:noWrap/>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3,4</w:t>
            </w:r>
          </w:p>
        </w:tc>
        <w:tc>
          <w:tcPr>
            <w:tcW w:w="714" w:type="pct"/>
            <w:shd w:val="clear" w:color="auto" w:fill="auto"/>
            <w:vAlign w:val="center"/>
            <w:hideMark/>
          </w:tcPr>
          <w:p w:rsidR="0061082E" w:rsidRDefault="0061082E" w:rsidP="00E31467">
            <w:pPr>
              <w:keepNext/>
              <w:keepLines/>
              <w:jc w:val="right"/>
              <w:rPr>
                <w:rFonts w:ascii="Arial Narrow" w:hAnsi="Arial Narrow" w:cs="Calibri"/>
                <w:color w:val="000000"/>
                <w:sz w:val="18"/>
                <w:szCs w:val="18"/>
              </w:rPr>
            </w:pPr>
            <w:r>
              <w:rPr>
                <w:rFonts w:ascii="Arial Narrow" w:hAnsi="Arial Narrow" w:cs="Calibri"/>
                <w:color w:val="000000"/>
                <w:sz w:val="18"/>
                <w:szCs w:val="18"/>
              </w:rPr>
              <w:t>7,6</w:t>
            </w:r>
          </w:p>
        </w:tc>
      </w:tr>
    </w:tbl>
    <w:p w:rsidR="00D203BA" w:rsidRPr="00E072ED" w:rsidRDefault="001D1D6D" w:rsidP="00204DFE">
      <w:pPr>
        <w:tabs>
          <w:tab w:val="left" w:pos="567"/>
        </w:tabs>
        <w:spacing w:after="120"/>
        <w:jc w:val="both"/>
        <w:rPr>
          <w:rFonts w:ascii="Arial Narrow" w:hAnsi="Arial Narrow" w:cs="Calibri"/>
          <w:color w:val="000000"/>
          <w:sz w:val="18"/>
          <w:szCs w:val="18"/>
        </w:rPr>
      </w:pPr>
      <w:r w:rsidRPr="00E072ED">
        <w:rPr>
          <w:rFonts w:ascii="Arial Narrow" w:hAnsi="Arial Narrow" w:cs="Calibri"/>
          <w:color w:val="000000"/>
          <w:sz w:val="18"/>
          <w:szCs w:val="18"/>
          <w:vertAlign w:val="superscript"/>
        </w:rPr>
        <w:t>(a</w:t>
      </w:r>
      <w:r w:rsidRPr="00004F0B">
        <w:rPr>
          <w:rFonts w:ascii="Arial Narrow" w:hAnsi="Arial Narrow" w:cs="Calibri"/>
          <w:color w:val="000000"/>
          <w:sz w:val="18"/>
          <w:szCs w:val="18"/>
          <w:vertAlign w:val="superscript"/>
        </w:rPr>
        <w:t>)</w:t>
      </w:r>
      <w:r w:rsidRPr="00E072ED">
        <w:rPr>
          <w:rFonts w:ascii="Arial Narrow" w:hAnsi="Arial Narrow" w:cs="Calibri"/>
          <w:color w:val="000000"/>
          <w:sz w:val="18"/>
          <w:szCs w:val="18"/>
        </w:rPr>
        <w:t xml:space="preserve"> Variazione media annua geometrica (o composta)</w:t>
      </w:r>
    </w:p>
    <w:p w:rsidR="00D203BA" w:rsidRDefault="0050033F" w:rsidP="00C03C37">
      <w:pPr>
        <w:tabs>
          <w:tab w:val="left" w:pos="567"/>
        </w:tabs>
        <w:spacing w:before="360" w:after="240"/>
        <w:jc w:val="both"/>
        <w:rPr>
          <w:rFonts w:ascii="Trebuchet MS" w:hAnsi="Trebuchet MS" w:cs="Arial"/>
          <w:color w:val="5F5F5F"/>
          <w:sz w:val="20"/>
          <w:szCs w:val="20"/>
        </w:rPr>
      </w:pPr>
      <w:r w:rsidRPr="0061319C">
        <w:rPr>
          <w:rFonts w:ascii="Trebuchet MS" w:hAnsi="Trebuchet MS" w:cs="Arial"/>
          <w:color w:val="5F5F5F"/>
          <w:sz w:val="20"/>
          <w:szCs w:val="20"/>
        </w:rPr>
        <w:t>Nel 2019 la</w:t>
      </w:r>
      <w:r w:rsidR="005A141C" w:rsidRPr="0061319C">
        <w:rPr>
          <w:rFonts w:ascii="Trebuchet MS" w:hAnsi="Trebuchet MS" w:cs="Arial"/>
          <w:color w:val="5F5F5F"/>
          <w:sz w:val="20"/>
          <w:szCs w:val="20"/>
        </w:rPr>
        <w:t xml:space="preserve"> componente straniera </w:t>
      </w:r>
      <w:r w:rsidRPr="0061319C">
        <w:rPr>
          <w:rFonts w:ascii="Trebuchet MS" w:hAnsi="Trebuchet MS" w:cs="Arial"/>
          <w:color w:val="5F5F5F"/>
          <w:sz w:val="20"/>
          <w:szCs w:val="20"/>
        </w:rPr>
        <w:t>incide per il 4,</w:t>
      </w:r>
      <w:r w:rsidR="009D36B8" w:rsidRPr="0061319C">
        <w:rPr>
          <w:rFonts w:ascii="Trebuchet MS" w:hAnsi="Trebuchet MS" w:cs="Arial"/>
          <w:color w:val="5F5F5F"/>
          <w:sz w:val="20"/>
          <w:szCs w:val="20"/>
        </w:rPr>
        <w:t>1</w:t>
      </w:r>
      <w:r w:rsidRPr="0061319C">
        <w:rPr>
          <w:rFonts w:ascii="Trebuchet MS" w:hAnsi="Trebuchet MS" w:cs="Arial"/>
          <w:color w:val="5F5F5F"/>
          <w:sz w:val="20"/>
          <w:szCs w:val="20"/>
        </w:rPr>
        <w:t>% sulla</w:t>
      </w:r>
      <w:r w:rsidR="005A141C" w:rsidRPr="0061319C">
        <w:rPr>
          <w:rFonts w:ascii="Trebuchet MS" w:hAnsi="Trebuchet MS" w:cs="Arial"/>
          <w:color w:val="5F5F5F"/>
          <w:sz w:val="20"/>
          <w:szCs w:val="20"/>
        </w:rPr>
        <w:t xml:space="preserve"> popolazione totale in </w:t>
      </w:r>
      <w:r w:rsidR="00427B53" w:rsidRPr="0061319C">
        <w:rPr>
          <w:rFonts w:ascii="Trebuchet MS" w:hAnsi="Trebuchet MS" w:cs="Arial"/>
          <w:color w:val="5F5F5F"/>
          <w:sz w:val="20"/>
          <w:szCs w:val="20"/>
        </w:rPr>
        <w:t>Basilicata</w:t>
      </w:r>
      <w:r w:rsidR="005A141C" w:rsidRPr="0061319C">
        <w:rPr>
          <w:rFonts w:ascii="Trebuchet MS" w:hAnsi="Trebuchet MS" w:cs="Arial"/>
          <w:color w:val="5F5F5F"/>
          <w:sz w:val="20"/>
          <w:szCs w:val="20"/>
        </w:rPr>
        <w:t xml:space="preserve"> (</w:t>
      </w:r>
      <w:r w:rsidR="009D36B8" w:rsidRPr="0061319C">
        <w:rPr>
          <w:rFonts w:ascii="Trebuchet MS" w:hAnsi="Trebuchet MS" w:cs="Arial"/>
          <w:color w:val="5F5F5F"/>
          <w:sz w:val="20"/>
          <w:szCs w:val="20"/>
        </w:rPr>
        <w:t>circa la</w:t>
      </w:r>
      <w:r w:rsidR="005A141C" w:rsidRPr="0061319C">
        <w:rPr>
          <w:rFonts w:ascii="Trebuchet MS" w:hAnsi="Trebuchet MS" w:cs="Arial"/>
          <w:color w:val="5F5F5F"/>
          <w:sz w:val="20"/>
          <w:szCs w:val="20"/>
        </w:rPr>
        <w:t xml:space="preserve"> metà del dato nazionale, pari a 8,4%)</w:t>
      </w:r>
      <w:r w:rsidRPr="0061319C">
        <w:rPr>
          <w:rFonts w:ascii="Trebuchet MS" w:hAnsi="Trebuchet MS" w:cs="Arial"/>
          <w:color w:val="5F5F5F"/>
          <w:sz w:val="20"/>
          <w:szCs w:val="20"/>
        </w:rPr>
        <w:t xml:space="preserve"> contro il</w:t>
      </w:r>
      <w:r w:rsidR="005A141C" w:rsidRPr="0061319C">
        <w:rPr>
          <w:rFonts w:ascii="Trebuchet MS" w:hAnsi="Trebuchet MS" w:cs="Arial"/>
          <w:color w:val="5F5F5F"/>
          <w:sz w:val="20"/>
          <w:szCs w:val="20"/>
        </w:rPr>
        <w:t xml:space="preserve"> 2,</w:t>
      </w:r>
      <w:r w:rsidR="00B13F17" w:rsidRPr="0061319C">
        <w:rPr>
          <w:rFonts w:ascii="Trebuchet MS" w:hAnsi="Trebuchet MS" w:cs="Arial"/>
          <w:color w:val="5F5F5F"/>
          <w:sz w:val="20"/>
          <w:szCs w:val="20"/>
        </w:rPr>
        <w:t>2</w:t>
      </w:r>
      <w:r w:rsidR="005A141C" w:rsidRPr="0061319C">
        <w:rPr>
          <w:rFonts w:ascii="Trebuchet MS" w:hAnsi="Trebuchet MS" w:cs="Arial"/>
          <w:color w:val="5F5F5F"/>
          <w:sz w:val="20"/>
          <w:szCs w:val="20"/>
        </w:rPr>
        <w:t>%</w:t>
      </w:r>
      <w:r w:rsidRPr="0061319C">
        <w:rPr>
          <w:rFonts w:ascii="Trebuchet MS" w:hAnsi="Trebuchet MS" w:cs="Arial"/>
          <w:color w:val="5F5F5F"/>
          <w:sz w:val="20"/>
          <w:szCs w:val="20"/>
        </w:rPr>
        <w:t xml:space="preserve"> rilevato nel 2011</w:t>
      </w:r>
      <w:r w:rsidR="005A141C" w:rsidRPr="0061319C">
        <w:rPr>
          <w:rFonts w:ascii="Trebuchet MS" w:hAnsi="Trebuchet MS" w:cs="Arial"/>
          <w:color w:val="5F5F5F"/>
          <w:sz w:val="20"/>
          <w:szCs w:val="20"/>
        </w:rPr>
        <w:t xml:space="preserve"> (6,8%</w:t>
      </w:r>
      <w:r w:rsidRPr="0061319C">
        <w:rPr>
          <w:rFonts w:ascii="Trebuchet MS" w:hAnsi="Trebuchet MS" w:cs="Arial"/>
          <w:color w:val="5F5F5F"/>
          <w:sz w:val="20"/>
          <w:szCs w:val="20"/>
        </w:rPr>
        <w:t xml:space="preserve"> la media nazionale</w:t>
      </w:r>
      <w:r w:rsidR="005A141C" w:rsidRPr="0061319C">
        <w:rPr>
          <w:rFonts w:ascii="Trebuchet MS" w:hAnsi="Trebuchet MS" w:cs="Arial"/>
          <w:color w:val="5F5F5F"/>
          <w:sz w:val="20"/>
          <w:szCs w:val="20"/>
        </w:rPr>
        <w:t xml:space="preserve">). </w:t>
      </w:r>
      <w:r w:rsidR="005A141C" w:rsidRPr="00F84072">
        <w:rPr>
          <w:rFonts w:ascii="Trebuchet MS" w:hAnsi="Trebuchet MS" w:cs="Arial"/>
          <w:color w:val="5F5F5F"/>
          <w:sz w:val="20"/>
          <w:szCs w:val="20"/>
        </w:rPr>
        <w:t xml:space="preserve">In ambito provinciale il peso degli stranieri è più elevato a </w:t>
      </w:r>
      <w:r w:rsidR="00E545D8" w:rsidRPr="00F84072">
        <w:rPr>
          <w:rFonts w:ascii="Trebuchet MS" w:hAnsi="Trebuchet MS" w:cs="Arial"/>
          <w:color w:val="5F5F5F"/>
          <w:sz w:val="20"/>
          <w:szCs w:val="20"/>
        </w:rPr>
        <w:t>Matera</w:t>
      </w:r>
      <w:r w:rsidR="005A141C" w:rsidRPr="00F84072">
        <w:rPr>
          <w:rFonts w:ascii="Trebuchet MS" w:hAnsi="Trebuchet MS" w:cs="Arial"/>
          <w:color w:val="5F5F5F"/>
          <w:sz w:val="20"/>
          <w:szCs w:val="20"/>
        </w:rPr>
        <w:t xml:space="preserve"> (5,</w:t>
      </w:r>
      <w:r w:rsidR="00E545D8" w:rsidRPr="00F84072">
        <w:rPr>
          <w:rFonts w:ascii="Trebuchet MS" w:hAnsi="Trebuchet MS" w:cs="Arial"/>
          <w:color w:val="5F5F5F"/>
          <w:sz w:val="20"/>
          <w:szCs w:val="20"/>
        </w:rPr>
        <w:t>5</w:t>
      </w:r>
      <w:r w:rsidR="005A141C" w:rsidRPr="00F84072">
        <w:rPr>
          <w:rFonts w:ascii="Trebuchet MS" w:hAnsi="Trebuchet MS" w:cs="Arial"/>
          <w:color w:val="5F5F5F"/>
          <w:sz w:val="20"/>
          <w:szCs w:val="20"/>
        </w:rPr>
        <w:t xml:space="preserve">%) </w:t>
      </w:r>
      <w:r w:rsidR="00E545D8" w:rsidRPr="00F84072">
        <w:rPr>
          <w:rFonts w:ascii="Trebuchet MS" w:hAnsi="Trebuchet MS" w:cs="Arial"/>
          <w:color w:val="5F5F5F"/>
          <w:sz w:val="20"/>
          <w:szCs w:val="20"/>
        </w:rPr>
        <w:t>che a Potenza</w:t>
      </w:r>
      <w:r w:rsidR="005A141C" w:rsidRPr="00F84072">
        <w:rPr>
          <w:rFonts w:ascii="Trebuchet MS" w:hAnsi="Trebuchet MS" w:cs="Arial"/>
          <w:color w:val="5F5F5F"/>
          <w:sz w:val="20"/>
          <w:szCs w:val="20"/>
        </w:rPr>
        <w:t xml:space="preserve"> (</w:t>
      </w:r>
      <w:r w:rsidR="00E545D8" w:rsidRPr="00F84072">
        <w:rPr>
          <w:rFonts w:ascii="Trebuchet MS" w:hAnsi="Trebuchet MS" w:cs="Arial"/>
          <w:color w:val="5F5F5F"/>
          <w:sz w:val="20"/>
          <w:szCs w:val="20"/>
        </w:rPr>
        <w:t>3</w:t>
      </w:r>
      <w:r w:rsidR="005A141C" w:rsidRPr="00F84072">
        <w:rPr>
          <w:rFonts w:ascii="Trebuchet MS" w:hAnsi="Trebuchet MS" w:cs="Arial"/>
          <w:color w:val="5F5F5F"/>
          <w:sz w:val="20"/>
          <w:szCs w:val="20"/>
        </w:rPr>
        <w:t>,</w:t>
      </w:r>
      <w:r w:rsidR="00E545D8" w:rsidRPr="00F84072">
        <w:rPr>
          <w:rFonts w:ascii="Trebuchet MS" w:hAnsi="Trebuchet MS" w:cs="Arial"/>
          <w:color w:val="5F5F5F"/>
          <w:sz w:val="20"/>
          <w:szCs w:val="20"/>
        </w:rPr>
        <w:t>3</w:t>
      </w:r>
      <w:r w:rsidR="005A141C" w:rsidRPr="00F84072">
        <w:rPr>
          <w:rFonts w:ascii="Trebuchet MS" w:hAnsi="Trebuchet MS" w:cs="Arial"/>
          <w:color w:val="5F5F5F"/>
          <w:sz w:val="20"/>
          <w:szCs w:val="20"/>
        </w:rPr>
        <w:t xml:space="preserve">%). Scendendo nel dettaglio comunale, </w:t>
      </w:r>
      <w:r w:rsidRPr="00F84072">
        <w:rPr>
          <w:rFonts w:ascii="Trebuchet MS" w:hAnsi="Trebuchet MS" w:cs="Arial"/>
          <w:color w:val="5F5F5F"/>
          <w:sz w:val="20"/>
          <w:szCs w:val="20"/>
        </w:rPr>
        <w:t>l’incidenza</w:t>
      </w:r>
      <w:r w:rsidR="00F84072" w:rsidRPr="00F84072">
        <w:rPr>
          <w:rFonts w:ascii="Trebuchet MS" w:hAnsi="Trebuchet MS" w:cs="Arial"/>
          <w:color w:val="5F5F5F"/>
          <w:sz w:val="20"/>
          <w:szCs w:val="20"/>
        </w:rPr>
        <w:t>supera il 10% nei comuni di Missanello (11,2%), Rotondella (10,8%) e Scanzano Jonico (10,1%)</w:t>
      </w:r>
      <w:r w:rsidR="003061E1">
        <w:rPr>
          <w:rFonts w:ascii="Trebuchet MS" w:hAnsi="Trebuchet MS" w:cs="Arial"/>
          <w:color w:val="5F5F5F"/>
          <w:sz w:val="20"/>
          <w:szCs w:val="20"/>
        </w:rPr>
        <w:t xml:space="preserve"> mentre</w:t>
      </w:r>
      <w:r w:rsidR="00F84072" w:rsidRPr="00F84072">
        <w:rPr>
          <w:rFonts w:ascii="Trebuchet MS" w:hAnsi="Trebuchet MS" w:cs="Arial"/>
          <w:color w:val="5F5F5F"/>
          <w:sz w:val="20"/>
          <w:szCs w:val="20"/>
        </w:rPr>
        <w:t xml:space="preserve"> nei due comuni capoluoghi non arriva al 5% (Matera 4,7% e Potenza 2,7%).</w:t>
      </w:r>
    </w:p>
    <w:p w:rsidR="005A141C" w:rsidRDefault="005A141C" w:rsidP="00E072ED">
      <w:pPr>
        <w:keepNext/>
        <w:keepLines/>
        <w:spacing w:after="60"/>
        <w:jc w:val="both"/>
        <w:rPr>
          <w:rFonts w:ascii="Arial Narrow" w:hAnsi="Arial Narrow"/>
          <w:color w:val="595959" w:themeColor="text1" w:themeTint="A6"/>
          <w:sz w:val="22"/>
          <w:szCs w:val="22"/>
        </w:rPr>
      </w:pPr>
      <w:r w:rsidRPr="00710C34">
        <w:rPr>
          <w:rFonts w:ascii="Arial Narrow" w:hAnsi="Arial Narrow"/>
          <w:b/>
          <w:bCs/>
          <w:color w:val="595959" w:themeColor="text1" w:themeTint="A6"/>
          <w:sz w:val="22"/>
          <w:szCs w:val="22"/>
        </w:rPr>
        <w:t xml:space="preserve">FIGURA 5. </w:t>
      </w:r>
      <w:r w:rsidRPr="00710C34">
        <w:rPr>
          <w:rFonts w:ascii="Arial Narrow" w:hAnsi="Arial Narrow"/>
          <w:color w:val="595959" w:themeColor="text1" w:themeTint="A6"/>
          <w:sz w:val="22"/>
          <w:szCs w:val="22"/>
        </w:rPr>
        <w:t xml:space="preserve">INCIDENZA DELLA POPOLAZIONE STRANIERA RESIDENTE PER </w:t>
      </w:r>
      <w:r w:rsidR="0050033F">
        <w:rPr>
          <w:rFonts w:ascii="Arial Narrow" w:hAnsi="Arial Narrow"/>
          <w:color w:val="595959" w:themeColor="text1" w:themeTint="A6"/>
          <w:sz w:val="22"/>
          <w:szCs w:val="22"/>
        </w:rPr>
        <w:t>GENERE</w:t>
      </w:r>
      <w:r w:rsidRPr="00710C34">
        <w:rPr>
          <w:rFonts w:ascii="Arial Narrow" w:hAnsi="Arial Narrow"/>
          <w:color w:val="595959" w:themeColor="text1" w:themeTint="A6"/>
          <w:sz w:val="22"/>
          <w:szCs w:val="22"/>
        </w:rPr>
        <w:t>E PROVINCIA</w:t>
      </w:r>
    </w:p>
    <w:tbl>
      <w:tblPr>
        <w:tblStyle w:val="Grigliatabel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tblPr>
      <w:tblGrid>
        <w:gridCol w:w="4824"/>
        <w:gridCol w:w="4824"/>
      </w:tblGrid>
      <w:tr w:rsidR="0037472A" w:rsidTr="0037472A">
        <w:trPr>
          <w:trHeight w:val="227"/>
        </w:trPr>
        <w:tc>
          <w:tcPr>
            <w:tcW w:w="2500" w:type="pct"/>
            <w:tcMar>
              <w:left w:w="0" w:type="dxa"/>
              <w:right w:w="0" w:type="dxa"/>
            </w:tcMar>
            <w:vAlign w:val="center"/>
          </w:tcPr>
          <w:p w:rsidR="0037472A" w:rsidRDefault="0037472A" w:rsidP="0037472A">
            <w:pPr>
              <w:pStyle w:val="00TitoloProspettoFigura"/>
              <w:keepNext/>
              <w:keepLines/>
              <w:ind w:left="0"/>
              <w:jc w:val="center"/>
              <w:rPr>
                <w:b w:val="0"/>
                <w:bCs w:val="0"/>
                <w:color w:val="595959" w:themeColor="text1" w:themeTint="A6"/>
                <w:sz w:val="22"/>
                <w:szCs w:val="22"/>
              </w:rPr>
            </w:pPr>
            <w:r w:rsidRPr="00EA152F">
              <w:rPr>
                <w:caps w:val="0"/>
                <w:color w:val="595959" w:themeColor="text1" w:themeTint="A6"/>
                <w:sz w:val="16"/>
                <w:szCs w:val="16"/>
              </w:rPr>
              <w:t xml:space="preserve">Anni 2011, 2018, 2019. </w:t>
            </w:r>
            <w:r>
              <w:rPr>
                <w:caps w:val="0"/>
                <w:color w:val="595959" w:themeColor="text1" w:themeTint="A6"/>
                <w:sz w:val="16"/>
                <w:szCs w:val="16"/>
              </w:rPr>
              <w:t>Basilicata</w:t>
            </w:r>
            <w:r w:rsidRPr="00EA152F">
              <w:rPr>
                <w:caps w:val="0"/>
                <w:color w:val="595959" w:themeColor="text1" w:themeTint="A6"/>
                <w:sz w:val="16"/>
                <w:szCs w:val="16"/>
              </w:rPr>
              <w:t xml:space="preserve"> e Italia</w:t>
            </w:r>
          </w:p>
        </w:tc>
        <w:tc>
          <w:tcPr>
            <w:tcW w:w="2500" w:type="pct"/>
            <w:tcMar>
              <w:left w:w="0" w:type="dxa"/>
              <w:right w:w="0" w:type="dxa"/>
            </w:tcMar>
            <w:vAlign w:val="center"/>
          </w:tcPr>
          <w:p w:rsidR="0037472A" w:rsidRDefault="0037472A" w:rsidP="0037472A">
            <w:pPr>
              <w:pStyle w:val="00TitoloProspettoFigura"/>
              <w:keepNext/>
              <w:keepLines/>
              <w:ind w:left="0"/>
              <w:jc w:val="center"/>
              <w:rPr>
                <w:b w:val="0"/>
                <w:bCs w:val="0"/>
                <w:color w:val="595959" w:themeColor="text1" w:themeTint="A6"/>
                <w:sz w:val="22"/>
                <w:szCs w:val="22"/>
              </w:rPr>
            </w:pPr>
            <w:r w:rsidRPr="00EA152F">
              <w:rPr>
                <w:caps w:val="0"/>
                <w:color w:val="595959" w:themeColor="text1" w:themeTint="A6"/>
                <w:sz w:val="16"/>
                <w:szCs w:val="16"/>
              </w:rPr>
              <w:t>Anno 2019 per Provincia</w:t>
            </w:r>
          </w:p>
        </w:tc>
      </w:tr>
      <w:tr w:rsidR="0037472A" w:rsidTr="0037472A">
        <w:trPr>
          <w:trHeight w:val="3487"/>
        </w:trPr>
        <w:tc>
          <w:tcPr>
            <w:tcW w:w="2500" w:type="pct"/>
            <w:tcMar>
              <w:left w:w="0" w:type="dxa"/>
              <w:right w:w="0" w:type="dxa"/>
            </w:tcMar>
          </w:tcPr>
          <w:p w:rsidR="0037472A" w:rsidRDefault="0037472A" w:rsidP="0037472A">
            <w:pPr>
              <w:keepNext/>
              <w:keepLines/>
              <w:jc w:val="both"/>
              <w:rPr>
                <w:rFonts w:ascii="Arial Narrow" w:hAnsi="Arial Narrow"/>
                <w:b/>
                <w:bCs/>
                <w:color w:val="595959" w:themeColor="text1" w:themeTint="A6"/>
                <w:sz w:val="22"/>
                <w:szCs w:val="22"/>
              </w:rPr>
            </w:pPr>
            <w:r>
              <w:rPr>
                <w:noProof/>
              </w:rPr>
              <w:drawing>
                <wp:inline distT="0" distB="0" distL="0" distR="0">
                  <wp:extent cx="3060000" cy="2160000"/>
                  <wp:effectExtent l="0" t="0" r="7620" b="0"/>
                  <wp:docPr id="16" name="Grafico 1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2500" w:type="pct"/>
            <w:tcMar>
              <w:left w:w="0" w:type="dxa"/>
              <w:right w:w="0" w:type="dxa"/>
            </w:tcMar>
          </w:tcPr>
          <w:p w:rsidR="0037472A" w:rsidRDefault="0037472A" w:rsidP="0037472A">
            <w:pPr>
              <w:keepNext/>
              <w:keepLines/>
              <w:jc w:val="both"/>
              <w:rPr>
                <w:rFonts w:ascii="Arial Narrow" w:hAnsi="Arial Narrow"/>
                <w:b/>
                <w:bCs/>
                <w:color w:val="595959" w:themeColor="text1" w:themeTint="A6"/>
                <w:sz w:val="22"/>
                <w:szCs w:val="22"/>
              </w:rPr>
            </w:pPr>
            <w:r>
              <w:rPr>
                <w:noProof/>
              </w:rPr>
              <w:drawing>
                <wp:inline distT="0" distB="0" distL="0" distR="0">
                  <wp:extent cx="3060000" cy="2160000"/>
                  <wp:effectExtent l="0" t="0" r="7620" b="0"/>
                  <wp:docPr id="4" name="Grafico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rsidR="005E38BA" w:rsidRPr="00004F0B" w:rsidRDefault="005A141C" w:rsidP="00C03C37">
      <w:pPr>
        <w:tabs>
          <w:tab w:val="left" w:pos="567"/>
        </w:tabs>
        <w:spacing w:before="360" w:after="120"/>
        <w:jc w:val="both"/>
        <w:rPr>
          <w:rFonts w:ascii="Trebuchet MS" w:hAnsi="Trebuchet MS" w:cs="Arial"/>
          <w:color w:val="5F5F5F"/>
          <w:sz w:val="20"/>
          <w:szCs w:val="20"/>
        </w:rPr>
      </w:pPr>
      <w:r w:rsidRPr="00732D95">
        <w:rPr>
          <w:rFonts w:ascii="Trebuchet MS" w:hAnsi="Trebuchet MS" w:cs="Arial"/>
          <w:color w:val="5F5F5F"/>
          <w:sz w:val="20"/>
          <w:szCs w:val="20"/>
        </w:rPr>
        <w:t xml:space="preserve">La piramide </w:t>
      </w:r>
      <w:r w:rsidR="0095116E" w:rsidRPr="00732D95">
        <w:rPr>
          <w:rFonts w:ascii="Trebuchet MS" w:hAnsi="Trebuchet MS" w:cs="Arial"/>
          <w:color w:val="5F5F5F"/>
          <w:sz w:val="20"/>
          <w:szCs w:val="20"/>
        </w:rPr>
        <w:t>delle</w:t>
      </w:r>
      <w:r w:rsidRPr="00732D95">
        <w:rPr>
          <w:rFonts w:ascii="Trebuchet MS" w:hAnsi="Trebuchet MS" w:cs="Arial"/>
          <w:color w:val="5F5F5F"/>
          <w:sz w:val="20"/>
          <w:szCs w:val="20"/>
        </w:rPr>
        <w:t xml:space="preserve">età della popolazione straniera residente in </w:t>
      </w:r>
      <w:r w:rsidR="00427B53" w:rsidRPr="00732D95">
        <w:rPr>
          <w:rFonts w:ascii="Trebuchet MS" w:hAnsi="Trebuchet MS" w:cs="Arial"/>
          <w:color w:val="5F5F5F"/>
          <w:sz w:val="20"/>
          <w:szCs w:val="20"/>
        </w:rPr>
        <w:t>Basilicata</w:t>
      </w:r>
      <w:r w:rsidRPr="00732D95">
        <w:rPr>
          <w:rFonts w:ascii="Trebuchet MS" w:hAnsi="Trebuchet MS" w:cs="Arial"/>
          <w:color w:val="5F5F5F"/>
          <w:sz w:val="20"/>
          <w:szCs w:val="20"/>
        </w:rPr>
        <w:t xml:space="preserve"> mostra</w:t>
      </w:r>
      <w:r w:rsidR="0050033F" w:rsidRPr="00732D95">
        <w:rPr>
          <w:rFonts w:ascii="Trebuchet MS" w:hAnsi="Trebuchet MS" w:cs="Arial"/>
          <w:color w:val="5F5F5F"/>
          <w:sz w:val="20"/>
          <w:szCs w:val="20"/>
        </w:rPr>
        <w:t xml:space="preserve"> nel 2019 </w:t>
      </w:r>
      <w:r w:rsidRPr="00732D95">
        <w:rPr>
          <w:rFonts w:ascii="Trebuchet MS" w:hAnsi="Trebuchet MS" w:cs="Arial"/>
          <w:color w:val="5F5F5F"/>
          <w:sz w:val="20"/>
          <w:szCs w:val="20"/>
        </w:rPr>
        <w:t>alcune differenze significative rispetto a quella straniera complessiva</w:t>
      </w:r>
      <w:r w:rsidR="0050033F" w:rsidRPr="00732D95">
        <w:rPr>
          <w:rFonts w:ascii="Trebuchet MS" w:hAnsi="Trebuchet MS" w:cs="Arial"/>
          <w:color w:val="5F5F5F"/>
          <w:sz w:val="20"/>
          <w:szCs w:val="20"/>
        </w:rPr>
        <w:t xml:space="preserve"> italiana</w:t>
      </w:r>
      <w:r w:rsidR="00D45A56" w:rsidRPr="00004F0B">
        <w:rPr>
          <w:rFonts w:ascii="Trebuchet MS" w:hAnsi="Trebuchet MS" w:cs="Arial"/>
          <w:color w:val="5F5F5F"/>
          <w:sz w:val="20"/>
          <w:szCs w:val="20"/>
        </w:rPr>
        <w:t xml:space="preserve">. La base (età da 0 a 19 anni) </w:t>
      </w:r>
      <w:r w:rsidR="00F96B2E" w:rsidRPr="00004F0B">
        <w:rPr>
          <w:rFonts w:ascii="Trebuchet MS" w:hAnsi="Trebuchet MS" w:cs="Arial"/>
          <w:color w:val="5F5F5F"/>
          <w:sz w:val="20"/>
          <w:szCs w:val="20"/>
        </w:rPr>
        <w:t>e la parte medio alta della piramide (dai 40 anni in poi) sono più strette</w:t>
      </w:r>
      <w:r w:rsidR="003061E1">
        <w:rPr>
          <w:rFonts w:ascii="Trebuchet MS" w:hAnsi="Trebuchet MS" w:cs="Arial"/>
          <w:color w:val="5F5F5F"/>
          <w:sz w:val="20"/>
          <w:szCs w:val="20"/>
        </w:rPr>
        <w:t xml:space="preserve"> mentre</w:t>
      </w:r>
      <w:r w:rsidR="00F96B2E" w:rsidRPr="00004F0B">
        <w:rPr>
          <w:rFonts w:ascii="Trebuchet MS" w:hAnsi="Trebuchet MS" w:cs="Arial"/>
          <w:color w:val="5F5F5F"/>
          <w:sz w:val="20"/>
          <w:szCs w:val="20"/>
        </w:rPr>
        <w:t xml:space="preserve"> la quota relativa alle persone da 20 a 39 anni risulta più ampia, soprattutto nella componente maschile.</w:t>
      </w:r>
    </w:p>
    <w:p w:rsidR="005A141C" w:rsidRPr="003B71FA" w:rsidRDefault="005E38BA" w:rsidP="00DE07DB">
      <w:pPr>
        <w:tabs>
          <w:tab w:val="left" w:pos="567"/>
        </w:tabs>
        <w:spacing w:after="120"/>
        <w:jc w:val="both"/>
        <w:rPr>
          <w:rFonts w:ascii="Trebuchet MS" w:hAnsi="Trebuchet MS" w:cs="Arial"/>
          <w:color w:val="5F5F5F"/>
          <w:sz w:val="20"/>
          <w:szCs w:val="20"/>
        </w:rPr>
      </w:pPr>
      <w:r w:rsidRPr="00361C95">
        <w:rPr>
          <w:rFonts w:ascii="Trebuchet MS" w:hAnsi="Trebuchet MS" w:cs="Arial"/>
          <w:color w:val="5F5F5F"/>
          <w:sz w:val="20"/>
          <w:szCs w:val="20"/>
        </w:rPr>
        <w:t xml:space="preserve">Rispetto al 2011, i divari </w:t>
      </w:r>
      <w:r>
        <w:rPr>
          <w:rFonts w:ascii="Trebuchet MS" w:hAnsi="Trebuchet MS" w:cs="Arial"/>
          <w:color w:val="5F5F5F"/>
          <w:sz w:val="20"/>
          <w:szCs w:val="20"/>
        </w:rPr>
        <w:t>si sono attenuati solo nella fascia di età più giovane</w:t>
      </w:r>
      <w:r w:rsidR="00FA1B22">
        <w:rPr>
          <w:rFonts w:ascii="Trebuchet MS" w:hAnsi="Trebuchet MS" w:cs="Arial"/>
          <w:color w:val="5F5F5F"/>
          <w:sz w:val="20"/>
          <w:szCs w:val="20"/>
        </w:rPr>
        <w:t xml:space="preserve">, il cui peso a livello nazionale si è ridotto di </w:t>
      </w:r>
      <w:r w:rsidR="00DE07DB">
        <w:rPr>
          <w:rFonts w:ascii="Trebuchet MS" w:hAnsi="Trebuchet MS" w:cs="Arial"/>
          <w:color w:val="5F5F5F"/>
          <w:sz w:val="20"/>
          <w:szCs w:val="20"/>
        </w:rPr>
        <w:t>tre</w:t>
      </w:r>
      <w:r w:rsidR="00FA1B22">
        <w:rPr>
          <w:rFonts w:ascii="Trebuchet MS" w:hAnsi="Trebuchet MS" w:cs="Arial"/>
          <w:color w:val="5F5F5F"/>
          <w:sz w:val="20"/>
          <w:szCs w:val="20"/>
        </w:rPr>
        <w:t xml:space="preserve"> punti percentuali (dal</w:t>
      </w:r>
      <w:r w:rsidR="00FA1B22" w:rsidRPr="00361C95">
        <w:rPr>
          <w:rFonts w:ascii="Trebuchet MS" w:hAnsi="Trebuchet MS" w:cs="Arial"/>
          <w:color w:val="5F5F5F"/>
          <w:sz w:val="20"/>
          <w:szCs w:val="20"/>
        </w:rPr>
        <w:t xml:space="preserve">25,5% </w:t>
      </w:r>
      <w:r w:rsidR="00FA1B22">
        <w:rPr>
          <w:rFonts w:ascii="Trebuchet MS" w:hAnsi="Trebuchet MS" w:cs="Arial"/>
          <w:color w:val="5F5F5F"/>
          <w:sz w:val="20"/>
          <w:szCs w:val="20"/>
        </w:rPr>
        <w:t xml:space="preserve">del 2011 </w:t>
      </w:r>
      <w:r w:rsidR="00FA1B22" w:rsidRPr="00361C95">
        <w:rPr>
          <w:rFonts w:ascii="Trebuchet MS" w:hAnsi="Trebuchet MS" w:cs="Arial"/>
          <w:color w:val="5F5F5F"/>
          <w:sz w:val="20"/>
          <w:szCs w:val="20"/>
        </w:rPr>
        <w:t>al 22,1%</w:t>
      </w:r>
      <w:r w:rsidR="00FA1B22">
        <w:rPr>
          <w:rFonts w:ascii="Trebuchet MS" w:hAnsi="Trebuchet MS" w:cs="Arial"/>
          <w:color w:val="5F5F5F"/>
          <w:sz w:val="20"/>
          <w:szCs w:val="20"/>
        </w:rPr>
        <w:t xml:space="preserve"> del 2019) e in Basilicata di </w:t>
      </w:r>
      <w:r w:rsidR="00DE07DB">
        <w:rPr>
          <w:rFonts w:ascii="Trebuchet MS" w:hAnsi="Trebuchet MS" w:cs="Arial"/>
          <w:color w:val="5F5F5F"/>
          <w:sz w:val="20"/>
          <w:szCs w:val="20"/>
        </w:rPr>
        <w:t>due</w:t>
      </w:r>
      <w:r w:rsidR="00FA1B22">
        <w:rPr>
          <w:rFonts w:ascii="Trebuchet MS" w:hAnsi="Trebuchet MS" w:cs="Arial"/>
          <w:color w:val="5F5F5F"/>
          <w:sz w:val="20"/>
          <w:szCs w:val="20"/>
        </w:rPr>
        <w:t xml:space="preserve"> punti (dal 21,8% al 19,7%). La quota di stranieri con età compresa fra 20 e 39 anni in Italia</w:t>
      </w:r>
      <w:r w:rsidR="00DE07DB">
        <w:rPr>
          <w:rFonts w:ascii="Trebuchet MS" w:hAnsi="Trebuchet MS" w:cs="Arial"/>
          <w:color w:val="5F5F5F"/>
          <w:sz w:val="20"/>
          <w:szCs w:val="20"/>
        </w:rPr>
        <w:t xml:space="preserve"> è passata dal 42,7% al 36,7% (sei punti percentuali in meno), in Basilicata dal 45,3% al 43,2% (due punti in meno). Infine, l’incidenza degli stranieri con 40 anni e più in Italia sale dal 31,8% al 41,3%, in Basilicata dal 32,9% al 37,0%.  </w:t>
      </w:r>
    </w:p>
    <w:p w:rsidR="005A141C" w:rsidRPr="00710C34" w:rsidRDefault="005A141C" w:rsidP="005B5D9A">
      <w:pPr>
        <w:keepNext/>
        <w:spacing w:before="240" w:after="60"/>
        <w:jc w:val="both"/>
        <w:rPr>
          <w:rFonts w:ascii="Arial Narrow" w:hAnsi="Arial Narrow"/>
          <w:b/>
          <w:bCs/>
          <w:color w:val="595959" w:themeColor="text1" w:themeTint="A6"/>
          <w:sz w:val="22"/>
          <w:szCs w:val="22"/>
        </w:rPr>
      </w:pPr>
      <w:r w:rsidRPr="00710C34">
        <w:rPr>
          <w:rFonts w:ascii="Arial Narrow" w:hAnsi="Arial Narrow"/>
          <w:b/>
          <w:bCs/>
          <w:color w:val="595959" w:themeColor="text1" w:themeTint="A6"/>
          <w:sz w:val="22"/>
          <w:szCs w:val="22"/>
        </w:rPr>
        <w:lastRenderedPageBreak/>
        <w:t xml:space="preserve">FIGURA 6. </w:t>
      </w:r>
      <w:r w:rsidRPr="00710C34">
        <w:rPr>
          <w:rFonts w:ascii="Arial Narrow" w:hAnsi="Arial Narrow"/>
          <w:color w:val="595959" w:themeColor="text1" w:themeTint="A6"/>
          <w:sz w:val="22"/>
          <w:szCs w:val="22"/>
        </w:rPr>
        <w:t xml:space="preserve">PIRAMIDE </w:t>
      </w:r>
      <w:r w:rsidR="00933DD4">
        <w:rPr>
          <w:rFonts w:ascii="Arial Narrow" w:hAnsi="Arial Narrow"/>
          <w:color w:val="595959" w:themeColor="text1" w:themeTint="A6"/>
          <w:sz w:val="22"/>
          <w:szCs w:val="22"/>
        </w:rPr>
        <w:t xml:space="preserve">DELLE </w:t>
      </w:r>
      <w:r w:rsidRPr="00710C34">
        <w:rPr>
          <w:rFonts w:ascii="Arial Narrow" w:hAnsi="Arial Narrow"/>
          <w:color w:val="595959" w:themeColor="text1" w:themeTint="A6"/>
          <w:sz w:val="22"/>
          <w:szCs w:val="22"/>
        </w:rPr>
        <w:t>ET</w:t>
      </w:r>
      <w:r w:rsidR="00BB1CD0">
        <w:rPr>
          <w:rFonts w:ascii="Arial Narrow" w:hAnsi="Arial Narrow"/>
          <w:color w:val="595959" w:themeColor="text1" w:themeTint="A6"/>
          <w:sz w:val="22"/>
          <w:szCs w:val="22"/>
        </w:rPr>
        <w:t>À</w:t>
      </w:r>
      <w:r w:rsidRPr="00710C34">
        <w:rPr>
          <w:rFonts w:ascii="Arial Narrow" w:hAnsi="Arial Narrow"/>
          <w:color w:val="595959" w:themeColor="text1" w:themeTint="A6"/>
          <w:sz w:val="22"/>
          <w:szCs w:val="22"/>
        </w:rPr>
        <w:t xml:space="preserve"> DELLA POPOLAZIONE STRANIERA (anno 2019) </w:t>
      </w:r>
      <w:r w:rsidR="003F2562" w:rsidRPr="003F2562">
        <w:rPr>
          <w:rFonts w:ascii="Arial Narrow" w:hAnsi="Arial Narrow"/>
          <w:color w:val="595959" w:themeColor="text1" w:themeTint="A6"/>
          <w:sz w:val="22"/>
          <w:szCs w:val="22"/>
        </w:rPr>
        <w:t xml:space="preserve">E DIFFERENZE NELLA COMPOSIZIONE PERCENTUALE PER CLASSI DI ETÀ (anni 2019-2011), </w:t>
      </w:r>
      <w:r w:rsidR="0061082E">
        <w:rPr>
          <w:rFonts w:ascii="Arial Narrow" w:hAnsi="Arial Narrow"/>
          <w:color w:val="595959" w:themeColor="text1" w:themeTint="A6"/>
          <w:sz w:val="22"/>
          <w:szCs w:val="22"/>
        </w:rPr>
        <w:t>BASILICATA</w:t>
      </w:r>
      <w:r w:rsidRPr="00710C34">
        <w:rPr>
          <w:rFonts w:ascii="Arial Narrow" w:hAnsi="Arial Narrow"/>
          <w:color w:val="595959" w:themeColor="text1" w:themeTint="A6"/>
          <w:sz w:val="22"/>
          <w:szCs w:val="22"/>
        </w:rPr>
        <w:t>e ITALIA</w:t>
      </w:r>
    </w:p>
    <w:tbl>
      <w:tblPr>
        <w:tblStyle w:val="Grigliatabel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ayout w:type="fixed"/>
        <w:tblCellMar>
          <w:left w:w="70" w:type="dxa"/>
          <w:right w:w="70" w:type="dxa"/>
        </w:tblCellMar>
        <w:tblLook w:val="04A0"/>
      </w:tblPr>
      <w:tblGrid>
        <w:gridCol w:w="4957"/>
        <w:gridCol w:w="4671"/>
      </w:tblGrid>
      <w:tr w:rsidR="002948CB" w:rsidTr="00A603D6">
        <w:trPr>
          <w:trHeight w:val="3861"/>
        </w:trPr>
        <w:tc>
          <w:tcPr>
            <w:tcW w:w="4957" w:type="dxa"/>
            <w:tcMar>
              <w:left w:w="0" w:type="dxa"/>
              <w:right w:w="0" w:type="dxa"/>
            </w:tcMar>
          </w:tcPr>
          <w:p w:rsidR="002948CB" w:rsidRPr="00EA152F" w:rsidRDefault="002948CB" w:rsidP="00A603D6">
            <w:pPr>
              <w:keepNext/>
              <w:spacing w:before="60" w:after="60"/>
              <w:jc w:val="center"/>
              <w:rPr>
                <w:rFonts w:ascii="Arial Narrow" w:hAnsi="Arial Narrow" w:cs="Arial"/>
                <w:b/>
                <w:bCs/>
                <w:color w:val="595959" w:themeColor="text1" w:themeTint="A6"/>
                <w:sz w:val="16"/>
                <w:szCs w:val="16"/>
              </w:rPr>
            </w:pPr>
            <w:r w:rsidRPr="00EA152F">
              <w:rPr>
                <w:rFonts w:ascii="Arial Narrow" w:hAnsi="Arial Narrow" w:cs="Arial"/>
                <w:b/>
                <w:bCs/>
                <w:color w:val="595959" w:themeColor="text1" w:themeTint="A6"/>
                <w:sz w:val="16"/>
                <w:szCs w:val="16"/>
              </w:rPr>
              <w:t xml:space="preserve">Anno 2019 </w:t>
            </w:r>
          </w:p>
          <w:p w:rsidR="002948CB" w:rsidRPr="00EA152F" w:rsidRDefault="0061082E" w:rsidP="005B5D9A">
            <w:pPr>
              <w:keepNext/>
              <w:jc w:val="both"/>
              <w:rPr>
                <w:rFonts w:ascii="Arial Narrow" w:hAnsi="Arial Narrow" w:cs="Arial"/>
                <w:b/>
                <w:bCs/>
                <w:color w:val="595959" w:themeColor="text1" w:themeTint="A6"/>
                <w:sz w:val="16"/>
                <w:szCs w:val="16"/>
              </w:rPr>
            </w:pPr>
            <w:r>
              <w:rPr>
                <w:noProof/>
              </w:rPr>
              <w:drawing>
                <wp:inline distT="0" distB="0" distL="0" distR="0">
                  <wp:extent cx="3060000" cy="2160000"/>
                  <wp:effectExtent l="0" t="0" r="7620" b="0"/>
                  <wp:docPr id="19" name="Grafico 1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B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4671" w:type="dxa"/>
            <w:tcMar>
              <w:left w:w="0" w:type="dxa"/>
              <w:right w:w="0" w:type="dxa"/>
            </w:tcMar>
          </w:tcPr>
          <w:p w:rsidR="002948CB" w:rsidRDefault="003F2562" w:rsidP="00A603D6">
            <w:pPr>
              <w:keepNext/>
              <w:spacing w:before="60" w:after="60"/>
              <w:jc w:val="center"/>
              <w:rPr>
                <w:rFonts w:ascii="Arial Narrow" w:hAnsi="Arial Narrow" w:cs="Arial"/>
                <w:b/>
                <w:bCs/>
                <w:color w:val="595959" w:themeColor="text1" w:themeTint="A6"/>
                <w:sz w:val="16"/>
                <w:szCs w:val="16"/>
              </w:rPr>
            </w:pPr>
            <w:r>
              <w:rPr>
                <w:rFonts w:ascii="Arial Narrow" w:hAnsi="Arial Narrow" w:cs="Arial"/>
                <w:b/>
                <w:bCs/>
                <w:color w:val="595959" w:themeColor="text1" w:themeTint="A6"/>
                <w:sz w:val="16"/>
                <w:szCs w:val="16"/>
              </w:rPr>
              <w:t>Differenze</w:t>
            </w:r>
            <w:r w:rsidR="002948CB" w:rsidRPr="00EA152F">
              <w:rPr>
                <w:rFonts w:ascii="Arial Narrow" w:hAnsi="Arial Narrow" w:cs="Arial"/>
                <w:b/>
                <w:bCs/>
                <w:color w:val="595959" w:themeColor="text1" w:themeTint="A6"/>
                <w:sz w:val="16"/>
                <w:szCs w:val="16"/>
              </w:rPr>
              <w:t xml:space="preserve"> 2019-2011</w:t>
            </w:r>
          </w:p>
          <w:p w:rsidR="002948CB" w:rsidRPr="002948CB" w:rsidRDefault="0061082E" w:rsidP="005B5D9A">
            <w:pPr>
              <w:keepNext/>
              <w:jc w:val="both"/>
              <w:rPr>
                <w:rFonts w:ascii="Arial Narrow" w:hAnsi="Arial Narrow" w:cs="Arial"/>
                <w:b/>
                <w:bCs/>
                <w:color w:val="595959" w:themeColor="text1" w:themeTint="A6"/>
                <w:sz w:val="16"/>
                <w:szCs w:val="16"/>
              </w:rPr>
            </w:pPr>
            <w:r>
              <w:rPr>
                <w:noProof/>
              </w:rPr>
              <w:drawing>
                <wp:inline distT="0" distB="0" distL="0" distR="0">
                  <wp:extent cx="3060000" cy="2160000"/>
                  <wp:effectExtent l="0" t="0" r="7620" b="0"/>
                  <wp:docPr id="22" name="Grafico 2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B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rsidR="00A014E2" w:rsidRPr="00564CF1" w:rsidRDefault="005A141C" w:rsidP="00C03C37">
      <w:pPr>
        <w:tabs>
          <w:tab w:val="left" w:pos="567"/>
        </w:tabs>
        <w:spacing w:before="360" w:after="120"/>
        <w:jc w:val="both"/>
        <w:rPr>
          <w:rFonts w:ascii="Trebuchet MS" w:hAnsi="Trebuchet MS" w:cs="Arial"/>
          <w:color w:val="5F5F5F"/>
          <w:sz w:val="20"/>
          <w:szCs w:val="20"/>
        </w:rPr>
      </w:pPr>
      <w:r w:rsidRPr="003B71FA">
        <w:rPr>
          <w:rFonts w:ascii="Trebuchet MS" w:hAnsi="Trebuchet MS" w:cs="Arial"/>
          <w:color w:val="5F5F5F"/>
          <w:sz w:val="20"/>
          <w:szCs w:val="20"/>
        </w:rPr>
        <w:t xml:space="preserve">La struttura demografica della popolazione di cittadinanza straniera appare notevolmente diversa rispetto </w:t>
      </w:r>
      <w:r w:rsidRPr="00564CF1">
        <w:rPr>
          <w:rFonts w:ascii="Trebuchet MS" w:hAnsi="Trebuchet MS" w:cs="Arial"/>
          <w:color w:val="5F5F5F"/>
          <w:sz w:val="20"/>
          <w:szCs w:val="20"/>
        </w:rPr>
        <w:t>a quella di cittadinanza italiana da diversi punti di vista. In primo luogo</w:t>
      </w:r>
      <w:r w:rsidR="00A014E2" w:rsidRPr="00564CF1">
        <w:rPr>
          <w:rFonts w:ascii="Trebuchet MS" w:hAnsi="Trebuchet MS" w:cs="Arial"/>
          <w:color w:val="5F5F5F"/>
          <w:sz w:val="20"/>
          <w:szCs w:val="20"/>
        </w:rPr>
        <w:t>,</w:t>
      </w:r>
      <w:r w:rsidRPr="00564CF1">
        <w:rPr>
          <w:rFonts w:ascii="Trebuchet MS" w:hAnsi="Trebuchet MS" w:cs="Arial"/>
          <w:color w:val="5F5F5F"/>
          <w:sz w:val="20"/>
          <w:szCs w:val="20"/>
        </w:rPr>
        <w:t xml:space="preserve"> l’età media degli stranieri residenti </w:t>
      </w:r>
      <w:r w:rsidR="00A014E2" w:rsidRPr="00564CF1">
        <w:rPr>
          <w:rFonts w:ascii="Trebuchet MS" w:hAnsi="Trebuchet MS" w:cs="Arial"/>
          <w:color w:val="5F5F5F"/>
          <w:sz w:val="20"/>
          <w:szCs w:val="20"/>
        </w:rPr>
        <w:t xml:space="preserve">in </w:t>
      </w:r>
      <w:r w:rsidR="00427B53" w:rsidRPr="00564CF1">
        <w:rPr>
          <w:rFonts w:ascii="Trebuchet MS" w:hAnsi="Trebuchet MS" w:cs="Arial"/>
          <w:color w:val="5F5F5F"/>
          <w:sz w:val="20"/>
          <w:szCs w:val="20"/>
        </w:rPr>
        <w:t>Basilicata</w:t>
      </w:r>
      <w:r w:rsidRPr="00564CF1">
        <w:rPr>
          <w:rFonts w:ascii="Trebuchet MS" w:hAnsi="Trebuchet MS" w:cs="Arial"/>
          <w:color w:val="5F5F5F"/>
          <w:sz w:val="20"/>
          <w:szCs w:val="20"/>
        </w:rPr>
        <w:t xml:space="preserve">al </w:t>
      </w:r>
      <w:r w:rsidR="00283393">
        <w:rPr>
          <w:rFonts w:ascii="Trebuchet MS" w:hAnsi="Trebuchet MS" w:cs="Arial"/>
          <w:color w:val="5F5F5F"/>
          <w:sz w:val="20"/>
          <w:szCs w:val="20"/>
        </w:rPr>
        <w:t>C</w:t>
      </w:r>
      <w:r w:rsidRPr="00564CF1">
        <w:rPr>
          <w:rFonts w:ascii="Trebuchet MS" w:hAnsi="Trebuchet MS" w:cs="Arial"/>
          <w:color w:val="5F5F5F"/>
          <w:sz w:val="20"/>
          <w:szCs w:val="20"/>
        </w:rPr>
        <w:t xml:space="preserve">ensimento 2019 è di oltre </w:t>
      </w:r>
      <w:r w:rsidR="00732D95" w:rsidRPr="00564CF1">
        <w:rPr>
          <w:rFonts w:ascii="Trebuchet MS" w:hAnsi="Trebuchet MS" w:cs="Arial"/>
          <w:color w:val="5F5F5F"/>
          <w:sz w:val="20"/>
          <w:szCs w:val="20"/>
        </w:rPr>
        <w:t>12,3</w:t>
      </w:r>
      <w:r w:rsidRPr="00564CF1">
        <w:rPr>
          <w:rFonts w:ascii="Trebuchet MS" w:hAnsi="Trebuchet MS" w:cs="Arial"/>
          <w:color w:val="5F5F5F"/>
          <w:sz w:val="20"/>
          <w:szCs w:val="20"/>
        </w:rPr>
        <w:t xml:space="preserve"> anni più bassa rispetto a quella degli italiani (</w:t>
      </w:r>
      <w:r w:rsidR="00A014E2" w:rsidRPr="00564CF1">
        <w:rPr>
          <w:rFonts w:ascii="Trebuchet MS" w:hAnsi="Trebuchet MS" w:cs="Arial"/>
          <w:color w:val="5F5F5F"/>
          <w:sz w:val="20"/>
          <w:szCs w:val="20"/>
        </w:rPr>
        <w:t>3</w:t>
      </w:r>
      <w:r w:rsidR="00732D95" w:rsidRPr="00564CF1">
        <w:rPr>
          <w:rFonts w:ascii="Trebuchet MS" w:hAnsi="Trebuchet MS" w:cs="Arial"/>
          <w:color w:val="5F5F5F"/>
          <w:sz w:val="20"/>
          <w:szCs w:val="20"/>
        </w:rPr>
        <w:t>3</w:t>
      </w:r>
      <w:r w:rsidR="00A014E2" w:rsidRPr="00564CF1">
        <w:rPr>
          <w:rFonts w:ascii="Trebuchet MS" w:hAnsi="Trebuchet MS" w:cs="Arial"/>
          <w:color w:val="5F5F5F"/>
          <w:sz w:val="20"/>
          <w:szCs w:val="20"/>
        </w:rPr>
        <w:t>,</w:t>
      </w:r>
      <w:r w:rsidR="00732D95" w:rsidRPr="00564CF1">
        <w:rPr>
          <w:rFonts w:ascii="Trebuchet MS" w:hAnsi="Trebuchet MS" w:cs="Arial"/>
          <w:color w:val="5F5F5F"/>
          <w:sz w:val="20"/>
          <w:szCs w:val="20"/>
        </w:rPr>
        <w:t>9</w:t>
      </w:r>
      <w:r w:rsidR="00A014E2" w:rsidRPr="00564CF1">
        <w:rPr>
          <w:rFonts w:ascii="Trebuchet MS" w:hAnsi="Trebuchet MS" w:cs="Arial"/>
          <w:color w:val="5F5F5F"/>
          <w:sz w:val="20"/>
          <w:szCs w:val="20"/>
        </w:rPr>
        <w:t xml:space="preserve"> anni contro </w:t>
      </w:r>
      <w:r w:rsidRPr="00564CF1">
        <w:rPr>
          <w:rFonts w:ascii="Trebuchet MS" w:hAnsi="Trebuchet MS" w:cs="Arial"/>
          <w:color w:val="5F5F5F"/>
          <w:sz w:val="20"/>
          <w:szCs w:val="20"/>
        </w:rPr>
        <w:t>4</w:t>
      </w:r>
      <w:r w:rsidR="00732D95" w:rsidRPr="00564CF1">
        <w:rPr>
          <w:rFonts w:ascii="Trebuchet MS" w:hAnsi="Trebuchet MS" w:cs="Arial"/>
          <w:color w:val="5F5F5F"/>
          <w:sz w:val="20"/>
          <w:szCs w:val="20"/>
        </w:rPr>
        <w:t>6</w:t>
      </w:r>
      <w:r w:rsidRPr="00564CF1">
        <w:rPr>
          <w:rFonts w:ascii="Trebuchet MS" w:hAnsi="Trebuchet MS" w:cs="Arial"/>
          <w:color w:val="5F5F5F"/>
          <w:sz w:val="20"/>
          <w:szCs w:val="20"/>
        </w:rPr>
        <w:t>,</w:t>
      </w:r>
      <w:r w:rsidR="00732D95" w:rsidRPr="00564CF1">
        <w:rPr>
          <w:rFonts w:ascii="Trebuchet MS" w:hAnsi="Trebuchet MS" w:cs="Arial"/>
          <w:color w:val="5F5F5F"/>
          <w:sz w:val="20"/>
          <w:szCs w:val="20"/>
        </w:rPr>
        <w:t>2</w:t>
      </w:r>
      <w:r w:rsidRPr="00564CF1">
        <w:rPr>
          <w:rFonts w:ascii="Trebuchet MS" w:hAnsi="Trebuchet MS" w:cs="Arial"/>
          <w:color w:val="5F5F5F"/>
          <w:sz w:val="20"/>
          <w:szCs w:val="20"/>
        </w:rPr>
        <w:t>)</w:t>
      </w:r>
      <w:r w:rsidR="00A014E2" w:rsidRPr="00564CF1">
        <w:rPr>
          <w:rFonts w:ascii="Trebuchet MS" w:hAnsi="Trebuchet MS" w:cs="Arial"/>
          <w:color w:val="5F5F5F"/>
          <w:sz w:val="20"/>
          <w:szCs w:val="20"/>
        </w:rPr>
        <w:t>. Il</w:t>
      </w:r>
      <w:r w:rsidRPr="00564CF1">
        <w:rPr>
          <w:rFonts w:ascii="Trebuchet MS" w:hAnsi="Trebuchet MS" w:cs="Arial"/>
          <w:color w:val="5F5F5F"/>
          <w:sz w:val="20"/>
          <w:szCs w:val="20"/>
        </w:rPr>
        <w:t xml:space="preserve"> differenziale è </w:t>
      </w:r>
      <w:r w:rsidR="00732D95" w:rsidRPr="00564CF1">
        <w:rPr>
          <w:rFonts w:ascii="Trebuchet MS" w:hAnsi="Trebuchet MS" w:cs="Arial"/>
          <w:color w:val="5F5F5F"/>
          <w:sz w:val="20"/>
          <w:szCs w:val="20"/>
        </w:rPr>
        <w:t xml:space="preserve">leggermente più ampio di </w:t>
      </w:r>
      <w:r w:rsidRPr="00564CF1">
        <w:rPr>
          <w:rFonts w:ascii="Trebuchet MS" w:hAnsi="Trebuchet MS" w:cs="Arial"/>
          <w:color w:val="5F5F5F"/>
          <w:sz w:val="20"/>
          <w:szCs w:val="20"/>
        </w:rPr>
        <w:t xml:space="preserve">quanto </w:t>
      </w:r>
      <w:r w:rsidR="00A014E2" w:rsidRPr="00564CF1">
        <w:rPr>
          <w:rFonts w:ascii="Trebuchet MS" w:hAnsi="Trebuchet MS" w:cs="Arial"/>
          <w:color w:val="5F5F5F"/>
          <w:sz w:val="20"/>
          <w:szCs w:val="20"/>
        </w:rPr>
        <w:t>rilevato</w:t>
      </w:r>
      <w:r w:rsidRPr="00564CF1">
        <w:rPr>
          <w:rFonts w:ascii="Trebuchet MS" w:hAnsi="Trebuchet MS" w:cs="Arial"/>
          <w:color w:val="5F5F5F"/>
          <w:sz w:val="20"/>
          <w:szCs w:val="20"/>
        </w:rPr>
        <w:t xml:space="preserve"> a livello nazionale (</w:t>
      </w:r>
      <w:r w:rsidR="00732D95" w:rsidRPr="00564CF1">
        <w:rPr>
          <w:rFonts w:ascii="Trebuchet MS" w:hAnsi="Trebuchet MS" w:cs="Arial"/>
          <w:color w:val="5F5F5F"/>
          <w:sz w:val="20"/>
          <w:szCs w:val="20"/>
        </w:rPr>
        <w:t>11,5</w:t>
      </w:r>
      <w:r w:rsidRPr="00564CF1">
        <w:rPr>
          <w:rFonts w:ascii="Trebuchet MS" w:hAnsi="Trebuchet MS" w:cs="Arial"/>
          <w:color w:val="5F5F5F"/>
          <w:sz w:val="20"/>
          <w:szCs w:val="20"/>
        </w:rPr>
        <w:t xml:space="preserve"> anni), </w:t>
      </w:r>
      <w:r w:rsidR="00732D95" w:rsidRPr="00564CF1">
        <w:rPr>
          <w:rFonts w:ascii="Trebuchet MS" w:hAnsi="Trebuchet MS" w:cs="Arial"/>
          <w:color w:val="5F5F5F"/>
          <w:sz w:val="20"/>
          <w:szCs w:val="20"/>
        </w:rPr>
        <w:t xml:space="preserve">dove </w:t>
      </w:r>
      <w:r w:rsidRPr="00564CF1">
        <w:rPr>
          <w:rFonts w:ascii="Trebuchet MS" w:hAnsi="Trebuchet MS" w:cs="Arial"/>
          <w:color w:val="5F5F5F"/>
          <w:sz w:val="20"/>
          <w:szCs w:val="20"/>
        </w:rPr>
        <w:t xml:space="preserve">l’età media degli italiani </w:t>
      </w:r>
      <w:r w:rsidR="00732D95" w:rsidRPr="00564CF1">
        <w:rPr>
          <w:rFonts w:ascii="Trebuchet MS" w:hAnsi="Trebuchet MS" w:cs="Arial"/>
          <w:color w:val="5F5F5F"/>
          <w:sz w:val="20"/>
          <w:szCs w:val="20"/>
        </w:rPr>
        <w:t xml:space="preserve">è di </w:t>
      </w:r>
      <w:r w:rsidRPr="00564CF1">
        <w:rPr>
          <w:rFonts w:ascii="Trebuchet MS" w:hAnsi="Trebuchet MS" w:cs="Arial"/>
          <w:color w:val="5F5F5F"/>
          <w:sz w:val="20"/>
          <w:szCs w:val="20"/>
        </w:rPr>
        <w:t>46,2 anni</w:t>
      </w:r>
      <w:r w:rsidR="00933DD4" w:rsidRPr="00564CF1">
        <w:rPr>
          <w:rFonts w:ascii="Trebuchet MS" w:hAnsi="Trebuchet MS" w:cs="Arial"/>
          <w:color w:val="5F5F5F"/>
          <w:sz w:val="20"/>
          <w:szCs w:val="20"/>
        </w:rPr>
        <w:t>,</w:t>
      </w:r>
      <w:r w:rsidR="00732D95" w:rsidRPr="00564CF1">
        <w:rPr>
          <w:rFonts w:ascii="Trebuchet MS" w:hAnsi="Trebuchet MS" w:cs="Arial"/>
          <w:color w:val="5F5F5F"/>
          <w:sz w:val="20"/>
          <w:szCs w:val="20"/>
        </w:rPr>
        <w:t xml:space="preserve">come in Basilicata, mentre quella degli stranieri è di </w:t>
      </w:r>
      <w:r w:rsidR="00564CF1" w:rsidRPr="00564CF1">
        <w:rPr>
          <w:rFonts w:ascii="Trebuchet MS" w:hAnsi="Trebuchet MS" w:cs="Arial"/>
          <w:color w:val="5F5F5F"/>
          <w:sz w:val="20"/>
          <w:szCs w:val="20"/>
        </w:rPr>
        <w:t>34,</w:t>
      </w:r>
      <w:r w:rsidRPr="00564CF1">
        <w:rPr>
          <w:rFonts w:ascii="Trebuchet MS" w:hAnsi="Trebuchet MS" w:cs="Arial"/>
          <w:color w:val="5F5F5F"/>
          <w:sz w:val="20"/>
          <w:szCs w:val="20"/>
        </w:rPr>
        <w:t xml:space="preserve">7 anni. </w:t>
      </w:r>
    </w:p>
    <w:p w:rsidR="005A141C" w:rsidRPr="00BB2B76" w:rsidRDefault="005A141C" w:rsidP="005A141C">
      <w:pPr>
        <w:tabs>
          <w:tab w:val="left" w:pos="567"/>
        </w:tabs>
        <w:spacing w:before="120" w:after="120"/>
        <w:jc w:val="both"/>
        <w:rPr>
          <w:rFonts w:ascii="Trebuchet MS" w:hAnsi="Trebuchet MS" w:cs="Arial"/>
          <w:color w:val="5F5F5F"/>
          <w:sz w:val="20"/>
          <w:szCs w:val="20"/>
        </w:rPr>
      </w:pPr>
      <w:r w:rsidRPr="00BB2B76">
        <w:rPr>
          <w:rFonts w:ascii="Trebuchet MS" w:hAnsi="Trebuchet MS" w:cs="Arial"/>
          <w:color w:val="5F5F5F"/>
          <w:sz w:val="20"/>
          <w:szCs w:val="20"/>
        </w:rPr>
        <w:t>In maniera conseguente gli indicatori strutturali di italiani e stranieri sono piuttosto differenziati sia a livello nazionale che regionale.</w:t>
      </w:r>
      <w:r w:rsidR="004625C1" w:rsidRPr="00BB2B76">
        <w:rPr>
          <w:rFonts w:ascii="Trebuchet MS" w:hAnsi="Trebuchet MS" w:cs="Arial"/>
          <w:color w:val="5F5F5F"/>
          <w:sz w:val="20"/>
          <w:szCs w:val="20"/>
        </w:rPr>
        <w:t xml:space="preserve"> In </w:t>
      </w:r>
      <w:r w:rsidR="00427B53" w:rsidRPr="00BB2B76">
        <w:rPr>
          <w:rFonts w:ascii="Trebuchet MS" w:hAnsi="Trebuchet MS" w:cs="Arial"/>
          <w:color w:val="5F5F5F"/>
          <w:sz w:val="20"/>
          <w:szCs w:val="20"/>
        </w:rPr>
        <w:t>Basilicata</w:t>
      </w:r>
      <w:r w:rsidR="004625C1" w:rsidRPr="00BB2B76">
        <w:rPr>
          <w:rFonts w:ascii="Trebuchet MS" w:hAnsi="Trebuchet MS" w:cs="Arial"/>
          <w:color w:val="5F5F5F"/>
          <w:sz w:val="20"/>
          <w:szCs w:val="20"/>
        </w:rPr>
        <w:t xml:space="preserve"> i</w:t>
      </w:r>
      <w:r w:rsidRPr="00BB2B76">
        <w:rPr>
          <w:rFonts w:ascii="Trebuchet MS" w:hAnsi="Trebuchet MS" w:cs="Arial"/>
          <w:color w:val="5F5F5F"/>
          <w:sz w:val="20"/>
          <w:szCs w:val="20"/>
        </w:rPr>
        <w:t>l numero d</w:t>
      </w:r>
      <w:r w:rsidR="00A014E2" w:rsidRPr="00BB2B76">
        <w:rPr>
          <w:rFonts w:ascii="Trebuchet MS" w:hAnsi="Trebuchet MS" w:cs="Arial"/>
          <w:color w:val="5F5F5F"/>
          <w:sz w:val="20"/>
          <w:szCs w:val="20"/>
        </w:rPr>
        <w:t xml:space="preserve">i </w:t>
      </w:r>
      <w:r w:rsidRPr="00BB2B76">
        <w:rPr>
          <w:rFonts w:ascii="Trebuchet MS" w:hAnsi="Trebuchet MS" w:cs="Arial"/>
          <w:color w:val="5F5F5F"/>
          <w:sz w:val="20"/>
          <w:szCs w:val="20"/>
        </w:rPr>
        <w:t>ultrasessanta</w:t>
      </w:r>
      <w:r w:rsidR="00406E2F" w:rsidRPr="00BB2B76">
        <w:rPr>
          <w:rFonts w:ascii="Trebuchet MS" w:hAnsi="Trebuchet MS" w:cs="Arial"/>
          <w:color w:val="5F5F5F"/>
          <w:sz w:val="20"/>
          <w:szCs w:val="20"/>
        </w:rPr>
        <w:t>quattrenni</w:t>
      </w:r>
      <w:r w:rsidRPr="00BB2B76">
        <w:rPr>
          <w:rFonts w:ascii="Trebuchet MS" w:hAnsi="Trebuchet MS" w:cs="Arial"/>
          <w:color w:val="5F5F5F"/>
          <w:sz w:val="20"/>
          <w:szCs w:val="20"/>
        </w:rPr>
        <w:t xml:space="preserve">ogni 100 bambini e ragazzi </w:t>
      </w:r>
      <w:r w:rsidR="00F04B83">
        <w:rPr>
          <w:rFonts w:ascii="Trebuchet MS" w:hAnsi="Trebuchet MS" w:cs="Arial"/>
          <w:color w:val="5F5F5F"/>
          <w:sz w:val="20"/>
          <w:szCs w:val="20"/>
        </w:rPr>
        <w:br/>
      </w:r>
      <w:r w:rsidRPr="00BB2B76">
        <w:rPr>
          <w:rFonts w:ascii="Trebuchet MS" w:hAnsi="Trebuchet MS" w:cs="Arial"/>
          <w:color w:val="5F5F5F"/>
          <w:sz w:val="20"/>
          <w:szCs w:val="20"/>
        </w:rPr>
        <w:t xml:space="preserve">(under 15) è pari a </w:t>
      </w:r>
      <w:r w:rsidR="00564CF1" w:rsidRPr="00BB2B76">
        <w:rPr>
          <w:rFonts w:ascii="Trebuchet MS" w:hAnsi="Trebuchet MS" w:cs="Arial"/>
          <w:color w:val="5F5F5F"/>
          <w:sz w:val="20"/>
          <w:szCs w:val="20"/>
        </w:rPr>
        <w:t>210,4</w:t>
      </w:r>
      <w:r w:rsidR="00A014E2" w:rsidRPr="00BB2B76">
        <w:rPr>
          <w:rFonts w:ascii="Trebuchet MS" w:hAnsi="Trebuchet MS" w:cs="Arial"/>
          <w:color w:val="5F5F5F"/>
          <w:sz w:val="20"/>
          <w:szCs w:val="20"/>
        </w:rPr>
        <w:t xml:space="preserve"> per gli italiani </w:t>
      </w:r>
      <w:r w:rsidR="004625C1" w:rsidRPr="00BB2B76">
        <w:rPr>
          <w:rFonts w:ascii="Trebuchet MS" w:hAnsi="Trebuchet MS" w:cs="Arial"/>
          <w:color w:val="5F5F5F"/>
          <w:sz w:val="20"/>
          <w:szCs w:val="20"/>
        </w:rPr>
        <w:t xml:space="preserve">e a </w:t>
      </w:r>
      <w:r w:rsidR="00805F12">
        <w:rPr>
          <w:rFonts w:ascii="Trebuchet MS" w:hAnsi="Trebuchet MS" w:cs="Arial"/>
          <w:color w:val="5F5F5F"/>
          <w:sz w:val="20"/>
          <w:szCs w:val="20"/>
        </w:rPr>
        <w:t>2</w:t>
      </w:r>
      <w:r w:rsidR="00564CF1" w:rsidRPr="00BB2B76">
        <w:rPr>
          <w:rFonts w:ascii="Trebuchet MS" w:hAnsi="Trebuchet MS" w:cs="Arial"/>
          <w:color w:val="5F5F5F"/>
          <w:sz w:val="20"/>
          <w:szCs w:val="20"/>
        </w:rPr>
        <w:t>4,1</w:t>
      </w:r>
      <w:r w:rsidR="004625C1" w:rsidRPr="00BB2B76">
        <w:rPr>
          <w:rFonts w:ascii="Trebuchet MS" w:hAnsi="Trebuchet MS" w:cs="Arial"/>
          <w:color w:val="5F5F5F"/>
          <w:sz w:val="20"/>
          <w:szCs w:val="20"/>
        </w:rPr>
        <w:t xml:space="preserve"> per </w:t>
      </w:r>
      <w:r w:rsidRPr="00BB2B76">
        <w:rPr>
          <w:rFonts w:ascii="Trebuchet MS" w:hAnsi="Trebuchet MS" w:cs="Arial"/>
          <w:color w:val="5F5F5F"/>
          <w:sz w:val="20"/>
          <w:szCs w:val="20"/>
        </w:rPr>
        <w:t>gli stranieri</w:t>
      </w:r>
      <w:r w:rsidR="008F58BD">
        <w:rPr>
          <w:rFonts w:ascii="Trebuchet MS" w:hAnsi="Trebuchet MS" w:cs="Arial"/>
          <w:color w:val="5F5F5F"/>
          <w:sz w:val="20"/>
          <w:szCs w:val="20"/>
        </w:rPr>
        <w:t>;</w:t>
      </w:r>
      <w:r w:rsidR="00564CF1" w:rsidRPr="00BB2B76">
        <w:rPr>
          <w:rFonts w:ascii="Trebuchet MS" w:hAnsi="Trebuchet MS" w:cs="Arial"/>
          <w:color w:val="5F5F5F"/>
          <w:sz w:val="20"/>
          <w:szCs w:val="20"/>
        </w:rPr>
        <w:t xml:space="preserve"> a livello</w:t>
      </w:r>
      <w:r w:rsidRPr="00BB2B76">
        <w:rPr>
          <w:rFonts w:ascii="Trebuchet MS" w:hAnsi="Trebuchet MS" w:cs="Arial"/>
          <w:color w:val="5F5F5F"/>
          <w:sz w:val="20"/>
          <w:szCs w:val="20"/>
        </w:rPr>
        <w:t xml:space="preserve"> nazionale </w:t>
      </w:r>
      <w:r w:rsidR="00564CF1" w:rsidRPr="00BB2B76">
        <w:rPr>
          <w:rFonts w:ascii="Trebuchet MS" w:hAnsi="Trebuchet MS" w:cs="Arial"/>
          <w:color w:val="5F5F5F"/>
          <w:sz w:val="20"/>
          <w:szCs w:val="20"/>
        </w:rPr>
        <w:t xml:space="preserve">l’indicatore è pari a </w:t>
      </w:r>
      <w:r w:rsidR="004625C1" w:rsidRPr="00BB2B76">
        <w:rPr>
          <w:rFonts w:ascii="Trebuchet MS" w:hAnsi="Trebuchet MS" w:cs="Arial"/>
          <w:color w:val="5F5F5F"/>
          <w:sz w:val="20"/>
          <w:szCs w:val="20"/>
        </w:rPr>
        <w:t xml:space="preserve">199,1 per gli italiani e </w:t>
      </w:r>
      <w:r w:rsidRPr="00BB2B76">
        <w:rPr>
          <w:rFonts w:ascii="Trebuchet MS" w:hAnsi="Trebuchet MS" w:cs="Arial"/>
          <w:color w:val="5F5F5F"/>
          <w:sz w:val="20"/>
          <w:szCs w:val="20"/>
        </w:rPr>
        <w:t>27,6</w:t>
      </w:r>
      <w:r w:rsidR="004625C1" w:rsidRPr="00BB2B76">
        <w:rPr>
          <w:rFonts w:ascii="Trebuchet MS" w:hAnsi="Trebuchet MS" w:cs="Arial"/>
          <w:color w:val="5F5F5F"/>
          <w:sz w:val="20"/>
          <w:szCs w:val="20"/>
        </w:rPr>
        <w:t xml:space="preserve"> per gli</w:t>
      </w:r>
      <w:r w:rsidRPr="00BB2B76">
        <w:rPr>
          <w:rFonts w:ascii="Trebuchet MS" w:hAnsi="Trebuchet MS" w:cs="Arial"/>
          <w:color w:val="5F5F5F"/>
          <w:sz w:val="20"/>
          <w:szCs w:val="20"/>
        </w:rPr>
        <w:t xml:space="preserve"> stranieri. </w:t>
      </w:r>
      <w:r w:rsidR="00D5536E" w:rsidRPr="00BB2B76">
        <w:rPr>
          <w:rFonts w:ascii="Trebuchet MS" w:hAnsi="Trebuchet MS" w:cs="Arial"/>
          <w:color w:val="5F5F5F"/>
          <w:sz w:val="20"/>
          <w:szCs w:val="20"/>
        </w:rPr>
        <w:t>Significativamente</w:t>
      </w:r>
      <w:r w:rsidR="00564CF1" w:rsidRPr="00BB2B76">
        <w:rPr>
          <w:rFonts w:ascii="Trebuchet MS" w:hAnsi="Trebuchet MS" w:cs="Arial"/>
          <w:color w:val="5F5F5F"/>
          <w:sz w:val="20"/>
          <w:szCs w:val="20"/>
        </w:rPr>
        <w:t xml:space="preserve"> più basso a</w:t>
      </w:r>
      <w:r w:rsidRPr="00BB2B76">
        <w:rPr>
          <w:rFonts w:ascii="Trebuchet MS" w:hAnsi="Trebuchet MS" w:cs="Arial"/>
          <w:color w:val="5F5F5F"/>
          <w:sz w:val="20"/>
          <w:szCs w:val="20"/>
        </w:rPr>
        <w:t>nche il rapporto tra la popolazione convenzionalmente non attiva (under 15 e over 64) e quella attiva (15-64)</w:t>
      </w:r>
      <w:r w:rsidR="00564CF1" w:rsidRPr="00BB2B76">
        <w:rPr>
          <w:rFonts w:ascii="Trebuchet MS" w:hAnsi="Trebuchet MS" w:cs="Arial"/>
          <w:color w:val="5F5F5F"/>
          <w:sz w:val="20"/>
          <w:szCs w:val="20"/>
        </w:rPr>
        <w:t xml:space="preserve">; in </w:t>
      </w:r>
      <w:r w:rsidR="001A606F">
        <w:rPr>
          <w:rFonts w:ascii="Trebuchet MS" w:hAnsi="Trebuchet MS" w:cs="Arial"/>
          <w:color w:val="5F5F5F"/>
          <w:sz w:val="20"/>
          <w:szCs w:val="20"/>
        </w:rPr>
        <w:t>Basilicata</w:t>
      </w:r>
      <w:r w:rsidR="00564CF1" w:rsidRPr="00BB2B76">
        <w:rPr>
          <w:rFonts w:ascii="Trebuchet MS" w:hAnsi="Trebuchet MS" w:cs="Arial"/>
          <w:color w:val="5F5F5F"/>
          <w:sz w:val="20"/>
          <w:szCs w:val="20"/>
        </w:rPr>
        <w:t xml:space="preserve"> è pari a </w:t>
      </w:r>
      <w:r w:rsidR="001A606F">
        <w:rPr>
          <w:rFonts w:ascii="Trebuchet MS" w:hAnsi="Trebuchet MS" w:cs="Arial"/>
          <w:color w:val="5F5F5F"/>
          <w:sz w:val="20"/>
          <w:szCs w:val="20"/>
        </w:rPr>
        <w:t>22,4</w:t>
      </w:r>
      <w:r w:rsidR="00564CF1" w:rsidRPr="00BB2B76">
        <w:rPr>
          <w:rFonts w:ascii="Trebuchet MS" w:hAnsi="Trebuchet MS" w:cs="Arial"/>
          <w:color w:val="5F5F5F"/>
          <w:sz w:val="20"/>
          <w:szCs w:val="20"/>
        </w:rPr>
        <w:t>per gli stranieri e a</w:t>
      </w:r>
      <w:r w:rsidRPr="00BB2B76">
        <w:rPr>
          <w:rFonts w:ascii="Trebuchet MS" w:hAnsi="Trebuchet MS" w:cs="Arial"/>
          <w:color w:val="5F5F5F"/>
          <w:sz w:val="20"/>
          <w:szCs w:val="20"/>
        </w:rPr>
        <w:t xml:space="preserve"> 5</w:t>
      </w:r>
      <w:r w:rsidR="001A606F">
        <w:rPr>
          <w:rFonts w:ascii="Trebuchet MS" w:hAnsi="Trebuchet MS" w:cs="Arial"/>
          <w:color w:val="5F5F5F"/>
          <w:sz w:val="20"/>
          <w:szCs w:val="20"/>
        </w:rPr>
        <w:t>6</w:t>
      </w:r>
      <w:r w:rsidRPr="00BB2B76">
        <w:rPr>
          <w:rFonts w:ascii="Trebuchet MS" w:hAnsi="Trebuchet MS" w:cs="Arial"/>
          <w:color w:val="5F5F5F"/>
          <w:sz w:val="20"/>
          <w:szCs w:val="20"/>
        </w:rPr>
        <w:t>,1</w:t>
      </w:r>
      <w:r w:rsidR="00564CF1" w:rsidRPr="00BB2B76">
        <w:rPr>
          <w:rFonts w:ascii="Trebuchet MS" w:hAnsi="Trebuchet MS" w:cs="Arial"/>
          <w:color w:val="5F5F5F"/>
          <w:sz w:val="20"/>
          <w:szCs w:val="20"/>
        </w:rPr>
        <w:t xml:space="preserve"> per gli italiani</w:t>
      </w:r>
      <w:r w:rsidR="00BB2B76" w:rsidRPr="00BB2B76">
        <w:rPr>
          <w:rFonts w:ascii="Trebuchet MS" w:hAnsi="Trebuchet MS" w:cs="Arial"/>
          <w:color w:val="5F5F5F"/>
          <w:sz w:val="20"/>
          <w:szCs w:val="20"/>
        </w:rPr>
        <w:t xml:space="preserve">, in Italia, rispettivamente, a </w:t>
      </w:r>
      <w:r w:rsidRPr="00BB2B76">
        <w:rPr>
          <w:rFonts w:ascii="Trebuchet MS" w:hAnsi="Trebuchet MS" w:cs="Arial"/>
          <w:color w:val="5F5F5F"/>
          <w:sz w:val="20"/>
          <w:szCs w:val="20"/>
        </w:rPr>
        <w:t>29,1 e 59,9.</w:t>
      </w:r>
    </w:p>
    <w:p w:rsidR="005A141C" w:rsidRPr="00BB2B76" w:rsidRDefault="005A141C" w:rsidP="005A141C">
      <w:pPr>
        <w:tabs>
          <w:tab w:val="left" w:pos="567"/>
        </w:tabs>
        <w:spacing w:before="120" w:after="120"/>
        <w:jc w:val="both"/>
        <w:rPr>
          <w:rFonts w:ascii="Trebuchet MS" w:hAnsi="Trebuchet MS" w:cs="Arial"/>
          <w:color w:val="5F5F5F"/>
          <w:sz w:val="20"/>
          <w:szCs w:val="20"/>
        </w:rPr>
      </w:pPr>
      <w:r w:rsidRPr="00BB2B76">
        <w:rPr>
          <w:rFonts w:ascii="Trebuchet MS" w:hAnsi="Trebuchet MS" w:cs="Arial"/>
          <w:color w:val="5F5F5F"/>
          <w:sz w:val="20"/>
          <w:szCs w:val="20"/>
        </w:rPr>
        <w:t xml:space="preserve">Per quanto riguarda il genere, le differenze tra italiani e stranieri sono meno marcate e di segno opposto tra il dato regionale </w:t>
      </w:r>
      <w:r w:rsidR="004625C1" w:rsidRPr="00BB2B76">
        <w:rPr>
          <w:rFonts w:ascii="Trebuchet MS" w:hAnsi="Trebuchet MS" w:cs="Arial"/>
          <w:color w:val="5F5F5F"/>
          <w:sz w:val="20"/>
          <w:szCs w:val="20"/>
        </w:rPr>
        <w:t xml:space="preserve">e </w:t>
      </w:r>
      <w:r w:rsidRPr="00BB2B76">
        <w:rPr>
          <w:rFonts w:ascii="Trebuchet MS" w:hAnsi="Trebuchet MS" w:cs="Arial"/>
          <w:color w:val="5F5F5F"/>
          <w:sz w:val="20"/>
          <w:szCs w:val="20"/>
        </w:rPr>
        <w:t xml:space="preserve">quello nazionale. Sul territorio </w:t>
      </w:r>
      <w:r w:rsidR="00BB2B76" w:rsidRPr="00BB2B76">
        <w:rPr>
          <w:rFonts w:ascii="Trebuchet MS" w:hAnsi="Trebuchet MS" w:cs="Arial"/>
          <w:color w:val="5F5F5F"/>
          <w:sz w:val="20"/>
          <w:szCs w:val="20"/>
        </w:rPr>
        <w:t>lucano</w:t>
      </w:r>
      <w:r w:rsidRPr="00BB2B76">
        <w:rPr>
          <w:rFonts w:ascii="Trebuchet MS" w:hAnsi="Trebuchet MS" w:cs="Arial"/>
          <w:color w:val="5F5F5F"/>
          <w:sz w:val="20"/>
          <w:szCs w:val="20"/>
        </w:rPr>
        <w:t xml:space="preserve"> il rapporto di mascolinità è al </w:t>
      </w:r>
      <w:r w:rsidR="00BB2B76" w:rsidRPr="00BB2B76">
        <w:rPr>
          <w:rFonts w:ascii="Trebuchet MS" w:hAnsi="Trebuchet MS" w:cs="Arial"/>
          <w:color w:val="5F5F5F"/>
          <w:sz w:val="20"/>
          <w:szCs w:val="20"/>
        </w:rPr>
        <w:t>100,6</w:t>
      </w:r>
      <w:r w:rsidR="004625C1" w:rsidRPr="00BB2B76">
        <w:rPr>
          <w:rFonts w:ascii="Trebuchet MS" w:hAnsi="Trebuchet MS" w:cs="Arial"/>
          <w:color w:val="5F5F5F"/>
          <w:sz w:val="20"/>
          <w:szCs w:val="20"/>
        </w:rPr>
        <w:t>%</w:t>
      </w:r>
      <w:r w:rsidRPr="00BB2B76">
        <w:rPr>
          <w:rFonts w:ascii="Trebuchet MS" w:hAnsi="Trebuchet MS" w:cs="Arial"/>
          <w:color w:val="5F5F5F"/>
          <w:sz w:val="20"/>
          <w:szCs w:val="20"/>
        </w:rPr>
        <w:t xml:space="preserve"> per gli stranieri e al 9</w:t>
      </w:r>
      <w:r w:rsidR="00BB2B76" w:rsidRPr="00BB2B76">
        <w:rPr>
          <w:rFonts w:ascii="Trebuchet MS" w:hAnsi="Trebuchet MS" w:cs="Arial"/>
          <w:color w:val="5F5F5F"/>
          <w:sz w:val="20"/>
          <w:szCs w:val="20"/>
        </w:rPr>
        <w:t>6,7</w:t>
      </w:r>
      <w:r w:rsidR="004625C1" w:rsidRPr="00BB2B76">
        <w:rPr>
          <w:rFonts w:ascii="Trebuchet MS" w:hAnsi="Trebuchet MS" w:cs="Arial"/>
          <w:color w:val="5F5F5F"/>
          <w:sz w:val="20"/>
          <w:szCs w:val="20"/>
        </w:rPr>
        <w:t>%</w:t>
      </w:r>
      <w:r w:rsidRPr="00BB2B76">
        <w:rPr>
          <w:rFonts w:ascii="Trebuchet MS" w:hAnsi="Trebuchet MS" w:cs="Arial"/>
          <w:color w:val="5F5F5F"/>
          <w:sz w:val="20"/>
          <w:szCs w:val="20"/>
        </w:rPr>
        <w:t xml:space="preserve"> per gli italiani. A livello nazionale il rapporto è invece più basso per gli stranieri (93,2</w:t>
      </w:r>
      <w:r w:rsidR="004625C1" w:rsidRPr="00BB2B76">
        <w:rPr>
          <w:rFonts w:ascii="Trebuchet MS" w:hAnsi="Trebuchet MS" w:cs="Arial"/>
          <w:color w:val="5F5F5F"/>
          <w:sz w:val="20"/>
          <w:szCs w:val="20"/>
        </w:rPr>
        <w:t>%</w:t>
      </w:r>
      <w:r w:rsidRPr="00BB2B76">
        <w:rPr>
          <w:rFonts w:ascii="Trebuchet MS" w:hAnsi="Trebuchet MS" w:cs="Arial"/>
          <w:color w:val="5F5F5F"/>
          <w:sz w:val="20"/>
          <w:szCs w:val="20"/>
        </w:rPr>
        <w:t>) che per gli italiani (95,1</w:t>
      </w:r>
      <w:r w:rsidR="004625C1" w:rsidRPr="00BB2B76">
        <w:rPr>
          <w:rFonts w:ascii="Trebuchet MS" w:hAnsi="Trebuchet MS" w:cs="Arial"/>
          <w:color w:val="5F5F5F"/>
          <w:sz w:val="20"/>
          <w:szCs w:val="20"/>
        </w:rPr>
        <w:t>%</w:t>
      </w:r>
      <w:r w:rsidRPr="00BB2B76">
        <w:rPr>
          <w:rFonts w:ascii="Trebuchet MS" w:hAnsi="Trebuchet MS" w:cs="Arial"/>
          <w:color w:val="5F5F5F"/>
          <w:sz w:val="20"/>
          <w:szCs w:val="20"/>
        </w:rPr>
        <w:t>).</w:t>
      </w:r>
    </w:p>
    <w:p w:rsidR="005A141C" w:rsidRDefault="005A141C" w:rsidP="005A141C">
      <w:pPr>
        <w:tabs>
          <w:tab w:val="left" w:pos="567"/>
        </w:tabs>
        <w:spacing w:before="120" w:after="120"/>
        <w:jc w:val="both"/>
        <w:rPr>
          <w:rFonts w:ascii="Trebuchet MS" w:hAnsi="Trebuchet MS" w:cs="Arial"/>
          <w:color w:val="5F5F5F"/>
          <w:sz w:val="20"/>
          <w:szCs w:val="20"/>
        </w:rPr>
      </w:pPr>
      <w:r w:rsidRPr="001A606F">
        <w:rPr>
          <w:rFonts w:ascii="Trebuchet MS" w:hAnsi="Trebuchet MS" w:cs="Arial"/>
          <w:color w:val="5F5F5F"/>
          <w:sz w:val="20"/>
          <w:szCs w:val="20"/>
        </w:rPr>
        <w:t>Scendendo nel dettaglio dei territori si riscontra</w:t>
      </w:r>
      <w:r w:rsidR="00BB2B76" w:rsidRPr="001A606F">
        <w:rPr>
          <w:rFonts w:ascii="Trebuchet MS" w:hAnsi="Trebuchet MS" w:cs="Arial"/>
          <w:color w:val="5F5F5F"/>
          <w:sz w:val="20"/>
          <w:szCs w:val="20"/>
        </w:rPr>
        <w:t xml:space="preserve"> una significativa differenziazione fra le due province. In provincia di </w:t>
      </w:r>
      <w:r w:rsidR="00D31A10" w:rsidRPr="001A606F">
        <w:rPr>
          <w:rFonts w:ascii="Trebuchet MS" w:hAnsi="Trebuchet MS" w:cs="Arial"/>
          <w:color w:val="5F5F5F"/>
          <w:sz w:val="20"/>
          <w:szCs w:val="20"/>
        </w:rPr>
        <w:t>Matera l’età media sia degli italiani (45,8) che degli stranieri (33,3) è di circaun anno più bassa rispetto alla provincia di Potenza (46,4 per</w:t>
      </w:r>
      <w:r w:rsidR="00BB2B76" w:rsidRPr="001A606F">
        <w:rPr>
          <w:rFonts w:ascii="Trebuchet MS" w:hAnsi="Trebuchet MS" w:cs="Arial"/>
          <w:color w:val="5F5F5F"/>
          <w:sz w:val="20"/>
          <w:szCs w:val="20"/>
        </w:rPr>
        <w:t xml:space="preserve"> gli italiani </w:t>
      </w:r>
      <w:r w:rsidR="00D31A10" w:rsidRPr="001A606F">
        <w:rPr>
          <w:rFonts w:ascii="Trebuchet MS" w:hAnsi="Trebuchet MS" w:cs="Arial"/>
          <w:color w:val="5F5F5F"/>
          <w:sz w:val="20"/>
          <w:szCs w:val="20"/>
        </w:rPr>
        <w:t>e 34,4 per gli stranieri); l’indice di vecchiaia degli stra</w:t>
      </w:r>
      <w:r w:rsidR="001940F3" w:rsidRPr="001A606F">
        <w:rPr>
          <w:rFonts w:ascii="Trebuchet MS" w:hAnsi="Trebuchet MS" w:cs="Arial"/>
          <w:color w:val="5F5F5F"/>
          <w:sz w:val="20"/>
          <w:szCs w:val="20"/>
        </w:rPr>
        <w:t>nieri è pari a 21,5 nel materano e a 26,9 nel potentino, quello degli italiani, rispettivamente a 202,8 e 214,5. Per l’indice di dipendenza</w:t>
      </w:r>
      <w:r w:rsidR="00DF12CA" w:rsidRPr="001A606F">
        <w:rPr>
          <w:rFonts w:ascii="Trebuchet MS" w:hAnsi="Trebuchet MS" w:cs="Arial"/>
          <w:color w:val="5F5F5F"/>
          <w:sz w:val="20"/>
          <w:szCs w:val="20"/>
        </w:rPr>
        <w:t>, invece, la provincia di Matera presenta i valori più elevati, con scarti più ampi per la componente straniera</w:t>
      </w:r>
      <w:r w:rsidR="00FC236C">
        <w:rPr>
          <w:rFonts w:ascii="Trebuchet MS" w:hAnsi="Trebuchet MS" w:cs="Arial"/>
          <w:color w:val="5F5F5F"/>
          <w:sz w:val="20"/>
          <w:szCs w:val="20"/>
        </w:rPr>
        <w:t>; i</w:t>
      </w:r>
      <w:r w:rsidR="00DE5560">
        <w:rPr>
          <w:rFonts w:ascii="Trebuchet MS" w:hAnsi="Trebuchet MS" w:cs="Arial"/>
          <w:color w:val="5F5F5F"/>
          <w:sz w:val="20"/>
          <w:szCs w:val="20"/>
        </w:rPr>
        <w:t xml:space="preserve">nfatti,per gli stranieri </w:t>
      </w:r>
      <w:r w:rsidR="00DF12CA" w:rsidRPr="001A606F">
        <w:rPr>
          <w:rFonts w:ascii="Trebuchet MS" w:hAnsi="Trebuchet MS" w:cs="Arial"/>
          <w:color w:val="5F5F5F"/>
          <w:sz w:val="20"/>
          <w:szCs w:val="20"/>
        </w:rPr>
        <w:t>l’indice di dipen</w:t>
      </w:r>
      <w:r w:rsidR="001A606F" w:rsidRPr="001A606F">
        <w:rPr>
          <w:rFonts w:ascii="Trebuchet MS" w:hAnsi="Trebuchet MS" w:cs="Arial"/>
          <w:color w:val="5F5F5F"/>
          <w:sz w:val="20"/>
          <w:szCs w:val="20"/>
        </w:rPr>
        <w:t>den</w:t>
      </w:r>
      <w:r w:rsidR="00DF12CA" w:rsidRPr="001A606F">
        <w:rPr>
          <w:rFonts w:ascii="Trebuchet MS" w:hAnsi="Trebuchet MS" w:cs="Arial"/>
          <w:color w:val="5F5F5F"/>
          <w:sz w:val="20"/>
          <w:szCs w:val="20"/>
        </w:rPr>
        <w:t xml:space="preserve">za è pari a 24,9 a Matera e a 20,2 a Potenza, </w:t>
      </w:r>
      <w:r w:rsidR="00FC236C">
        <w:rPr>
          <w:rFonts w:ascii="Trebuchet MS" w:hAnsi="Trebuchet MS" w:cs="Arial"/>
          <w:color w:val="5F5F5F"/>
          <w:sz w:val="20"/>
          <w:szCs w:val="20"/>
        </w:rPr>
        <w:t xml:space="preserve">per gli italiani, rispettivamente, a 56,5 e a 55,8. Matera si differenzia anche per un rapporto di mascolinità della componente straniera (103,7) di sei punti più alto di quello di Potenza (97,9). </w:t>
      </w:r>
    </w:p>
    <w:p w:rsidR="004F4FB8" w:rsidRDefault="004F4FB8" w:rsidP="005A141C">
      <w:pPr>
        <w:tabs>
          <w:tab w:val="left" w:pos="567"/>
        </w:tabs>
        <w:spacing w:before="120" w:after="120"/>
        <w:jc w:val="both"/>
        <w:rPr>
          <w:rFonts w:ascii="Trebuchet MS" w:hAnsi="Trebuchet MS" w:cs="Arial"/>
          <w:color w:val="5F5F5F"/>
          <w:sz w:val="20"/>
          <w:szCs w:val="20"/>
        </w:rPr>
      </w:pPr>
    </w:p>
    <w:p w:rsidR="005A141C" w:rsidRDefault="005A141C" w:rsidP="00E072ED">
      <w:pPr>
        <w:spacing w:before="240" w:after="60"/>
        <w:jc w:val="both"/>
        <w:rPr>
          <w:rFonts w:ascii="Arial Narrow" w:hAnsi="Arial Narrow" w:cs="Arial"/>
          <w:color w:val="595959" w:themeColor="text1" w:themeTint="A6"/>
          <w:sz w:val="18"/>
          <w:szCs w:val="19"/>
        </w:rPr>
      </w:pPr>
      <w:r w:rsidRPr="00710C34">
        <w:rPr>
          <w:rFonts w:ascii="Arial Narrow" w:hAnsi="Arial Narrow"/>
          <w:b/>
          <w:bCs/>
          <w:color w:val="595959" w:themeColor="text1" w:themeTint="A6"/>
          <w:sz w:val="22"/>
          <w:szCs w:val="22"/>
        </w:rPr>
        <w:t xml:space="preserve">PROSPETTO 7. </w:t>
      </w:r>
      <w:r w:rsidRPr="00710C34">
        <w:rPr>
          <w:rFonts w:ascii="Arial Narrow" w:hAnsi="Arial Narrow"/>
          <w:color w:val="595959" w:themeColor="text1" w:themeTint="A6"/>
          <w:sz w:val="22"/>
          <w:szCs w:val="22"/>
        </w:rPr>
        <w:t xml:space="preserve">INDICATORI DEMOGRAFICI PER CITTADINANZA E PROVINCIA. </w:t>
      </w:r>
      <w:r w:rsidR="004E180B">
        <w:rPr>
          <w:rFonts w:ascii="Arial Narrow" w:hAnsi="Arial Narrow"/>
          <w:color w:val="595959" w:themeColor="text1" w:themeTint="A6"/>
          <w:sz w:val="22"/>
          <w:szCs w:val="22"/>
        </w:rPr>
        <w:t>BASILICATA</w:t>
      </w:r>
      <w:r w:rsidRPr="00710C34">
        <w:rPr>
          <w:rFonts w:ascii="Arial Narrow" w:hAnsi="Arial Narrow"/>
          <w:color w:val="595959" w:themeColor="text1" w:themeTint="A6"/>
          <w:sz w:val="22"/>
          <w:szCs w:val="22"/>
        </w:rPr>
        <w:t xml:space="preserve"> e ITALIA.</w:t>
      </w:r>
      <w:r w:rsidRPr="00AC6165">
        <w:rPr>
          <w:rFonts w:ascii="Arial Narrow" w:hAnsi="Arial Narrow" w:cs="Arial"/>
          <w:color w:val="595959" w:themeColor="text1" w:themeTint="A6"/>
          <w:sz w:val="20"/>
          <w:szCs w:val="20"/>
        </w:rPr>
        <w:t>Anno 2019</w:t>
      </w:r>
    </w:p>
    <w:tbl>
      <w:tblPr>
        <w:tblW w:w="5000" w:type="pct"/>
        <w:tblCellMar>
          <w:left w:w="70" w:type="dxa"/>
          <w:right w:w="70" w:type="dxa"/>
        </w:tblCellMar>
        <w:tblLook w:val="04A0"/>
      </w:tblPr>
      <w:tblGrid>
        <w:gridCol w:w="1644"/>
        <w:gridCol w:w="1136"/>
        <w:gridCol w:w="898"/>
        <w:gridCol w:w="1136"/>
        <w:gridCol w:w="898"/>
        <w:gridCol w:w="1136"/>
        <w:gridCol w:w="898"/>
        <w:gridCol w:w="1136"/>
        <w:gridCol w:w="896"/>
      </w:tblGrid>
      <w:tr w:rsidR="009D11F2" w:rsidTr="008D4A9C">
        <w:trPr>
          <w:trHeight w:val="255"/>
        </w:trPr>
        <w:tc>
          <w:tcPr>
            <w:tcW w:w="841" w:type="pct"/>
            <w:vMerge w:val="restart"/>
            <w:tcBorders>
              <w:top w:val="single" w:sz="4" w:space="0" w:color="auto"/>
              <w:left w:val="nil"/>
              <w:bottom w:val="single" w:sz="4" w:space="0" w:color="000000"/>
              <w:right w:val="nil"/>
            </w:tcBorders>
            <w:shd w:val="clear" w:color="auto" w:fill="auto"/>
            <w:noWrap/>
            <w:vAlign w:val="center"/>
            <w:hideMark/>
          </w:tcPr>
          <w:p w:rsidR="009D11F2" w:rsidRDefault="009D11F2" w:rsidP="008D4A9C">
            <w:pPr>
              <w:spacing w:before="40" w:after="20"/>
              <w:rPr>
                <w:rFonts w:ascii="Arial Narrow" w:hAnsi="Arial Narrow" w:cs="Calibri"/>
                <w:b/>
                <w:bCs/>
                <w:color w:val="000000"/>
                <w:sz w:val="18"/>
                <w:szCs w:val="18"/>
              </w:rPr>
            </w:pPr>
            <w:r>
              <w:rPr>
                <w:rFonts w:ascii="Arial Narrow" w:hAnsi="Arial Narrow" w:cs="Calibri"/>
                <w:b/>
                <w:bCs/>
                <w:color w:val="000000"/>
                <w:sz w:val="18"/>
                <w:szCs w:val="18"/>
              </w:rPr>
              <w:t>TERRITORIO</w:t>
            </w:r>
          </w:p>
        </w:tc>
        <w:tc>
          <w:tcPr>
            <w:tcW w:w="1040" w:type="pct"/>
            <w:gridSpan w:val="2"/>
            <w:tcBorders>
              <w:top w:val="single" w:sz="4" w:space="0" w:color="auto"/>
              <w:left w:val="nil"/>
              <w:bottom w:val="single" w:sz="4" w:space="0" w:color="auto"/>
              <w:right w:val="nil"/>
            </w:tcBorders>
            <w:shd w:val="clear" w:color="000000" w:fill="D9D9D9"/>
            <w:noWrap/>
            <w:vAlign w:val="center"/>
            <w:hideMark/>
          </w:tcPr>
          <w:p w:rsidR="009D11F2" w:rsidRPr="00DF12CA" w:rsidRDefault="009D11F2" w:rsidP="008D4A9C">
            <w:pPr>
              <w:spacing w:before="40" w:after="20"/>
              <w:jc w:val="center"/>
              <w:rPr>
                <w:rFonts w:ascii="Arial Narrow" w:hAnsi="Arial Narrow" w:cs="Calibri"/>
                <w:b/>
                <w:bCs/>
                <w:color w:val="000000"/>
                <w:sz w:val="18"/>
                <w:szCs w:val="18"/>
              </w:rPr>
            </w:pPr>
            <w:r w:rsidRPr="00DF12CA">
              <w:rPr>
                <w:rFonts w:ascii="Arial Narrow" w:hAnsi="Arial Narrow" w:cs="Calibri"/>
                <w:b/>
                <w:bCs/>
                <w:color w:val="000000"/>
                <w:sz w:val="18"/>
                <w:szCs w:val="18"/>
              </w:rPr>
              <w:t>Rapporto di mascolinità</w:t>
            </w:r>
          </w:p>
        </w:tc>
        <w:tc>
          <w:tcPr>
            <w:tcW w:w="1040" w:type="pct"/>
            <w:gridSpan w:val="2"/>
            <w:tcBorders>
              <w:top w:val="single" w:sz="4" w:space="0" w:color="auto"/>
              <w:left w:val="nil"/>
              <w:bottom w:val="single" w:sz="4" w:space="0" w:color="auto"/>
              <w:right w:val="nil"/>
            </w:tcBorders>
            <w:shd w:val="clear" w:color="auto" w:fill="auto"/>
            <w:noWrap/>
            <w:vAlign w:val="center"/>
            <w:hideMark/>
          </w:tcPr>
          <w:p w:rsidR="009D11F2" w:rsidRPr="00DF12CA" w:rsidRDefault="009D11F2" w:rsidP="008D4A9C">
            <w:pPr>
              <w:spacing w:before="40" w:after="20"/>
              <w:jc w:val="center"/>
              <w:rPr>
                <w:rFonts w:ascii="Arial Narrow" w:hAnsi="Arial Narrow" w:cs="Calibri"/>
                <w:b/>
                <w:bCs/>
                <w:color w:val="000000"/>
                <w:sz w:val="18"/>
                <w:szCs w:val="18"/>
              </w:rPr>
            </w:pPr>
            <w:r w:rsidRPr="00DF12CA">
              <w:rPr>
                <w:rFonts w:ascii="Arial Narrow" w:hAnsi="Arial Narrow" w:cs="Calibri"/>
                <w:b/>
                <w:bCs/>
                <w:color w:val="000000"/>
                <w:sz w:val="18"/>
                <w:szCs w:val="18"/>
              </w:rPr>
              <w:t>Età media</w:t>
            </w:r>
          </w:p>
        </w:tc>
        <w:tc>
          <w:tcPr>
            <w:tcW w:w="1040" w:type="pct"/>
            <w:gridSpan w:val="2"/>
            <w:tcBorders>
              <w:top w:val="single" w:sz="4" w:space="0" w:color="auto"/>
              <w:left w:val="nil"/>
              <w:bottom w:val="single" w:sz="4" w:space="0" w:color="auto"/>
              <w:right w:val="nil"/>
            </w:tcBorders>
            <w:shd w:val="clear" w:color="000000" w:fill="D9D9D9"/>
            <w:noWrap/>
            <w:vAlign w:val="center"/>
            <w:hideMark/>
          </w:tcPr>
          <w:p w:rsidR="009D11F2" w:rsidRPr="00DF12CA" w:rsidRDefault="009D11F2" w:rsidP="008D4A9C">
            <w:pPr>
              <w:spacing w:before="40" w:after="20"/>
              <w:jc w:val="center"/>
              <w:rPr>
                <w:rFonts w:ascii="Arial Narrow" w:hAnsi="Arial Narrow" w:cs="Calibri"/>
                <w:b/>
                <w:bCs/>
                <w:color w:val="000000"/>
                <w:sz w:val="18"/>
                <w:szCs w:val="18"/>
              </w:rPr>
            </w:pPr>
            <w:r w:rsidRPr="00DF12CA">
              <w:rPr>
                <w:rFonts w:ascii="Arial Narrow" w:hAnsi="Arial Narrow" w:cs="Calibri"/>
                <w:b/>
                <w:bCs/>
                <w:color w:val="000000"/>
                <w:sz w:val="18"/>
                <w:szCs w:val="18"/>
              </w:rPr>
              <w:t>Indice di dipendenza</w:t>
            </w:r>
          </w:p>
        </w:tc>
        <w:tc>
          <w:tcPr>
            <w:tcW w:w="1040" w:type="pct"/>
            <w:gridSpan w:val="2"/>
            <w:tcBorders>
              <w:top w:val="single" w:sz="4" w:space="0" w:color="auto"/>
              <w:left w:val="nil"/>
              <w:bottom w:val="single" w:sz="4" w:space="0" w:color="auto"/>
              <w:right w:val="nil"/>
            </w:tcBorders>
            <w:shd w:val="clear" w:color="auto" w:fill="auto"/>
            <w:noWrap/>
            <w:vAlign w:val="center"/>
            <w:hideMark/>
          </w:tcPr>
          <w:p w:rsidR="009D11F2" w:rsidRPr="00DF12CA" w:rsidRDefault="009D11F2" w:rsidP="008D4A9C">
            <w:pPr>
              <w:spacing w:before="40" w:after="20"/>
              <w:jc w:val="center"/>
              <w:rPr>
                <w:rFonts w:ascii="Arial Narrow" w:hAnsi="Arial Narrow" w:cs="Calibri"/>
                <w:b/>
                <w:bCs/>
                <w:color w:val="000000"/>
                <w:sz w:val="18"/>
                <w:szCs w:val="18"/>
              </w:rPr>
            </w:pPr>
            <w:r w:rsidRPr="00DF12CA">
              <w:rPr>
                <w:rFonts w:ascii="Arial Narrow" w:hAnsi="Arial Narrow" w:cs="Calibri"/>
                <w:b/>
                <w:bCs/>
                <w:color w:val="000000"/>
                <w:sz w:val="18"/>
                <w:szCs w:val="18"/>
              </w:rPr>
              <w:t>Indice di vecchiaia</w:t>
            </w:r>
          </w:p>
        </w:tc>
      </w:tr>
      <w:tr w:rsidR="009D11F2" w:rsidTr="008D4A9C">
        <w:trPr>
          <w:trHeight w:val="255"/>
        </w:trPr>
        <w:tc>
          <w:tcPr>
            <w:tcW w:w="841" w:type="pct"/>
            <w:vMerge/>
            <w:tcBorders>
              <w:top w:val="single" w:sz="4" w:space="0" w:color="auto"/>
              <w:left w:val="nil"/>
              <w:bottom w:val="single" w:sz="4" w:space="0" w:color="000000"/>
              <w:right w:val="nil"/>
            </w:tcBorders>
            <w:vAlign w:val="center"/>
            <w:hideMark/>
          </w:tcPr>
          <w:p w:rsidR="009D11F2" w:rsidRDefault="009D11F2" w:rsidP="008D4A9C">
            <w:pPr>
              <w:spacing w:before="40" w:after="20"/>
              <w:rPr>
                <w:rFonts w:ascii="Arial Narrow" w:hAnsi="Arial Narrow" w:cs="Calibri"/>
                <w:b/>
                <w:bCs/>
                <w:color w:val="000000"/>
                <w:sz w:val="18"/>
                <w:szCs w:val="18"/>
              </w:rPr>
            </w:pPr>
          </w:p>
        </w:tc>
        <w:tc>
          <w:tcPr>
            <w:tcW w:w="581" w:type="pct"/>
            <w:tcBorders>
              <w:top w:val="nil"/>
              <w:left w:val="nil"/>
              <w:bottom w:val="single" w:sz="4" w:space="0" w:color="auto"/>
              <w:right w:val="nil"/>
            </w:tcBorders>
            <w:shd w:val="clear" w:color="auto" w:fill="auto"/>
            <w:noWrap/>
            <w:vAlign w:val="center"/>
            <w:hideMark/>
          </w:tcPr>
          <w:p w:rsidR="009D11F2" w:rsidRDefault="009D11F2" w:rsidP="008D4A9C">
            <w:pPr>
              <w:spacing w:before="40" w:after="20"/>
              <w:jc w:val="right"/>
              <w:rPr>
                <w:rFonts w:ascii="Arial Narrow" w:hAnsi="Arial Narrow" w:cs="Calibri"/>
                <w:color w:val="000000"/>
                <w:sz w:val="18"/>
                <w:szCs w:val="18"/>
              </w:rPr>
            </w:pPr>
            <w:r>
              <w:rPr>
                <w:rFonts w:ascii="Arial Narrow" w:hAnsi="Arial Narrow" w:cs="Calibri"/>
                <w:color w:val="000000"/>
                <w:sz w:val="18"/>
                <w:szCs w:val="18"/>
              </w:rPr>
              <w:t>Stranieri</w:t>
            </w:r>
          </w:p>
        </w:tc>
        <w:tc>
          <w:tcPr>
            <w:tcW w:w="458" w:type="pct"/>
            <w:tcBorders>
              <w:top w:val="nil"/>
              <w:left w:val="nil"/>
              <w:bottom w:val="single" w:sz="4" w:space="0" w:color="auto"/>
              <w:right w:val="nil"/>
            </w:tcBorders>
            <w:shd w:val="clear" w:color="auto" w:fill="auto"/>
            <w:noWrap/>
            <w:vAlign w:val="center"/>
            <w:hideMark/>
          </w:tcPr>
          <w:p w:rsidR="009D11F2" w:rsidRDefault="009D11F2" w:rsidP="008D4A9C">
            <w:pPr>
              <w:spacing w:before="40" w:after="20"/>
              <w:jc w:val="right"/>
              <w:rPr>
                <w:rFonts w:ascii="Arial Narrow" w:hAnsi="Arial Narrow" w:cs="Calibri"/>
                <w:color w:val="000000"/>
                <w:sz w:val="18"/>
                <w:szCs w:val="18"/>
              </w:rPr>
            </w:pPr>
            <w:r>
              <w:rPr>
                <w:rFonts w:ascii="Arial Narrow" w:hAnsi="Arial Narrow" w:cs="Calibri"/>
                <w:color w:val="000000"/>
                <w:sz w:val="18"/>
                <w:szCs w:val="18"/>
              </w:rPr>
              <w:t>Italiani</w:t>
            </w:r>
          </w:p>
        </w:tc>
        <w:tc>
          <w:tcPr>
            <w:tcW w:w="581" w:type="pct"/>
            <w:tcBorders>
              <w:top w:val="nil"/>
              <w:left w:val="nil"/>
              <w:bottom w:val="single" w:sz="4" w:space="0" w:color="auto"/>
              <w:right w:val="nil"/>
            </w:tcBorders>
            <w:shd w:val="clear" w:color="auto" w:fill="auto"/>
            <w:noWrap/>
            <w:vAlign w:val="center"/>
            <w:hideMark/>
          </w:tcPr>
          <w:p w:rsidR="009D11F2" w:rsidRDefault="009D11F2" w:rsidP="008D4A9C">
            <w:pPr>
              <w:spacing w:before="40" w:after="20"/>
              <w:jc w:val="right"/>
              <w:rPr>
                <w:rFonts w:ascii="Arial Narrow" w:hAnsi="Arial Narrow" w:cs="Calibri"/>
                <w:color w:val="000000"/>
                <w:sz w:val="18"/>
                <w:szCs w:val="18"/>
              </w:rPr>
            </w:pPr>
            <w:r>
              <w:rPr>
                <w:rFonts w:ascii="Arial Narrow" w:hAnsi="Arial Narrow" w:cs="Calibri"/>
                <w:color w:val="000000"/>
                <w:sz w:val="18"/>
                <w:szCs w:val="18"/>
              </w:rPr>
              <w:t>Stranieri</w:t>
            </w:r>
          </w:p>
        </w:tc>
        <w:tc>
          <w:tcPr>
            <w:tcW w:w="458" w:type="pct"/>
            <w:tcBorders>
              <w:top w:val="nil"/>
              <w:left w:val="nil"/>
              <w:bottom w:val="single" w:sz="4" w:space="0" w:color="auto"/>
              <w:right w:val="nil"/>
            </w:tcBorders>
            <w:shd w:val="clear" w:color="auto" w:fill="auto"/>
            <w:noWrap/>
            <w:vAlign w:val="center"/>
            <w:hideMark/>
          </w:tcPr>
          <w:p w:rsidR="009D11F2" w:rsidRDefault="009D11F2" w:rsidP="008D4A9C">
            <w:pPr>
              <w:spacing w:before="40" w:after="20"/>
              <w:jc w:val="right"/>
              <w:rPr>
                <w:rFonts w:ascii="Arial Narrow" w:hAnsi="Arial Narrow" w:cs="Calibri"/>
                <w:color w:val="000000"/>
                <w:sz w:val="18"/>
                <w:szCs w:val="18"/>
              </w:rPr>
            </w:pPr>
            <w:r>
              <w:rPr>
                <w:rFonts w:ascii="Arial Narrow" w:hAnsi="Arial Narrow" w:cs="Calibri"/>
                <w:color w:val="000000"/>
                <w:sz w:val="18"/>
                <w:szCs w:val="18"/>
              </w:rPr>
              <w:t>Italiani</w:t>
            </w:r>
          </w:p>
        </w:tc>
        <w:tc>
          <w:tcPr>
            <w:tcW w:w="581" w:type="pct"/>
            <w:tcBorders>
              <w:top w:val="nil"/>
              <w:left w:val="nil"/>
              <w:bottom w:val="single" w:sz="4" w:space="0" w:color="auto"/>
              <w:right w:val="nil"/>
            </w:tcBorders>
            <w:shd w:val="clear" w:color="auto" w:fill="auto"/>
            <w:noWrap/>
            <w:vAlign w:val="center"/>
            <w:hideMark/>
          </w:tcPr>
          <w:p w:rsidR="009D11F2" w:rsidRDefault="009D11F2" w:rsidP="008D4A9C">
            <w:pPr>
              <w:spacing w:before="40" w:after="20"/>
              <w:jc w:val="right"/>
              <w:rPr>
                <w:rFonts w:ascii="Arial Narrow" w:hAnsi="Arial Narrow" w:cs="Calibri"/>
                <w:color w:val="000000"/>
                <w:sz w:val="18"/>
                <w:szCs w:val="18"/>
              </w:rPr>
            </w:pPr>
            <w:r>
              <w:rPr>
                <w:rFonts w:ascii="Arial Narrow" w:hAnsi="Arial Narrow" w:cs="Calibri"/>
                <w:color w:val="000000"/>
                <w:sz w:val="18"/>
                <w:szCs w:val="18"/>
              </w:rPr>
              <w:t>Stranieri</w:t>
            </w:r>
          </w:p>
        </w:tc>
        <w:tc>
          <w:tcPr>
            <w:tcW w:w="458" w:type="pct"/>
            <w:tcBorders>
              <w:top w:val="nil"/>
              <w:left w:val="nil"/>
              <w:bottom w:val="single" w:sz="4" w:space="0" w:color="auto"/>
              <w:right w:val="nil"/>
            </w:tcBorders>
            <w:shd w:val="clear" w:color="auto" w:fill="auto"/>
            <w:noWrap/>
            <w:vAlign w:val="center"/>
            <w:hideMark/>
          </w:tcPr>
          <w:p w:rsidR="009D11F2" w:rsidRDefault="009D11F2" w:rsidP="008D4A9C">
            <w:pPr>
              <w:spacing w:before="40" w:after="20"/>
              <w:jc w:val="right"/>
              <w:rPr>
                <w:rFonts w:ascii="Arial Narrow" w:hAnsi="Arial Narrow" w:cs="Calibri"/>
                <w:color w:val="000000"/>
                <w:sz w:val="18"/>
                <w:szCs w:val="18"/>
              </w:rPr>
            </w:pPr>
            <w:r>
              <w:rPr>
                <w:rFonts w:ascii="Arial Narrow" w:hAnsi="Arial Narrow" w:cs="Calibri"/>
                <w:color w:val="000000"/>
                <w:sz w:val="18"/>
                <w:szCs w:val="18"/>
              </w:rPr>
              <w:t>Italiani</w:t>
            </w:r>
          </w:p>
        </w:tc>
        <w:tc>
          <w:tcPr>
            <w:tcW w:w="581" w:type="pct"/>
            <w:tcBorders>
              <w:top w:val="nil"/>
              <w:left w:val="nil"/>
              <w:bottom w:val="single" w:sz="4" w:space="0" w:color="auto"/>
              <w:right w:val="nil"/>
            </w:tcBorders>
            <w:shd w:val="clear" w:color="auto" w:fill="auto"/>
            <w:noWrap/>
            <w:vAlign w:val="center"/>
            <w:hideMark/>
          </w:tcPr>
          <w:p w:rsidR="009D11F2" w:rsidRDefault="009D11F2" w:rsidP="008D4A9C">
            <w:pPr>
              <w:spacing w:before="40" w:after="20"/>
              <w:jc w:val="right"/>
              <w:rPr>
                <w:rFonts w:ascii="Arial Narrow" w:hAnsi="Arial Narrow" w:cs="Calibri"/>
                <w:color w:val="000000"/>
                <w:sz w:val="18"/>
                <w:szCs w:val="18"/>
              </w:rPr>
            </w:pPr>
            <w:r>
              <w:rPr>
                <w:rFonts w:ascii="Arial Narrow" w:hAnsi="Arial Narrow" w:cs="Calibri"/>
                <w:color w:val="000000"/>
                <w:sz w:val="18"/>
                <w:szCs w:val="18"/>
              </w:rPr>
              <w:t>Stranieri</w:t>
            </w:r>
          </w:p>
        </w:tc>
        <w:tc>
          <w:tcPr>
            <w:tcW w:w="458" w:type="pct"/>
            <w:tcBorders>
              <w:top w:val="nil"/>
              <w:left w:val="nil"/>
              <w:bottom w:val="single" w:sz="4" w:space="0" w:color="auto"/>
              <w:right w:val="nil"/>
            </w:tcBorders>
            <w:shd w:val="clear" w:color="auto" w:fill="auto"/>
            <w:noWrap/>
            <w:vAlign w:val="center"/>
            <w:hideMark/>
          </w:tcPr>
          <w:p w:rsidR="009D11F2" w:rsidRDefault="009D11F2" w:rsidP="008D4A9C">
            <w:pPr>
              <w:spacing w:before="40" w:after="20"/>
              <w:jc w:val="right"/>
              <w:rPr>
                <w:rFonts w:ascii="Arial Narrow" w:hAnsi="Arial Narrow" w:cs="Calibri"/>
                <w:color w:val="000000"/>
                <w:sz w:val="18"/>
                <w:szCs w:val="18"/>
              </w:rPr>
            </w:pPr>
            <w:r>
              <w:rPr>
                <w:rFonts w:ascii="Arial Narrow" w:hAnsi="Arial Narrow" w:cs="Calibri"/>
                <w:color w:val="000000"/>
                <w:sz w:val="18"/>
                <w:szCs w:val="18"/>
              </w:rPr>
              <w:t>Italiani</w:t>
            </w:r>
          </w:p>
        </w:tc>
      </w:tr>
      <w:tr w:rsidR="009D11F2" w:rsidTr="008D4A9C">
        <w:trPr>
          <w:trHeight w:val="255"/>
        </w:trPr>
        <w:tc>
          <w:tcPr>
            <w:tcW w:w="841" w:type="pct"/>
            <w:tcBorders>
              <w:top w:val="single" w:sz="4" w:space="0" w:color="auto"/>
              <w:left w:val="nil"/>
              <w:bottom w:val="single" w:sz="4" w:space="0" w:color="auto"/>
              <w:right w:val="nil"/>
            </w:tcBorders>
            <w:shd w:val="clear" w:color="000000" w:fill="C9321F"/>
            <w:noWrap/>
            <w:vAlign w:val="center"/>
            <w:hideMark/>
          </w:tcPr>
          <w:p w:rsidR="009D11F2" w:rsidRDefault="009D11F2" w:rsidP="008D4A9C">
            <w:pPr>
              <w:spacing w:before="40" w:after="20"/>
              <w:rPr>
                <w:rFonts w:ascii="Arial Narrow" w:hAnsi="Arial Narrow" w:cs="Calibri"/>
                <w:b/>
                <w:bCs/>
                <w:color w:val="FFFFFF"/>
                <w:sz w:val="18"/>
                <w:szCs w:val="18"/>
              </w:rPr>
            </w:pPr>
            <w:r>
              <w:rPr>
                <w:rFonts w:ascii="Arial Narrow" w:hAnsi="Arial Narrow" w:cs="Calibri"/>
                <w:b/>
                <w:bCs/>
                <w:color w:val="FFFFFF"/>
                <w:sz w:val="18"/>
                <w:szCs w:val="18"/>
              </w:rPr>
              <w:t>ITALIA</w:t>
            </w:r>
          </w:p>
        </w:tc>
        <w:tc>
          <w:tcPr>
            <w:tcW w:w="581" w:type="pct"/>
            <w:tcBorders>
              <w:top w:val="single" w:sz="4" w:space="0" w:color="auto"/>
              <w:left w:val="nil"/>
              <w:bottom w:val="single" w:sz="4" w:space="0" w:color="auto"/>
              <w:right w:val="nil"/>
            </w:tcBorders>
            <w:shd w:val="clear" w:color="000000" w:fill="C9321F"/>
            <w:noWrap/>
            <w:vAlign w:val="center"/>
            <w:hideMark/>
          </w:tcPr>
          <w:p w:rsidR="009D11F2" w:rsidRDefault="009D11F2" w:rsidP="008D4A9C">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93,2</w:t>
            </w:r>
          </w:p>
        </w:tc>
        <w:tc>
          <w:tcPr>
            <w:tcW w:w="458" w:type="pct"/>
            <w:tcBorders>
              <w:top w:val="single" w:sz="4" w:space="0" w:color="auto"/>
              <w:left w:val="nil"/>
              <w:bottom w:val="single" w:sz="4" w:space="0" w:color="auto"/>
              <w:right w:val="nil"/>
            </w:tcBorders>
            <w:shd w:val="clear" w:color="000000" w:fill="C9321F"/>
            <w:noWrap/>
            <w:vAlign w:val="center"/>
            <w:hideMark/>
          </w:tcPr>
          <w:p w:rsidR="009D11F2" w:rsidRDefault="009D11F2" w:rsidP="008D4A9C">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95,1</w:t>
            </w:r>
          </w:p>
        </w:tc>
        <w:tc>
          <w:tcPr>
            <w:tcW w:w="581" w:type="pct"/>
            <w:tcBorders>
              <w:top w:val="single" w:sz="4" w:space="0" w:color="auto"/>
              <w:left w:val="nil"/>
              <w:bottom w:val="single" w:sz="4" w:space="0" w:color="auto"/>
              <w:right w:val="nil"/>
            </w:tcBorders>
            <w:shd w:val="clear" w:color="000000" w:fill="C9321F"/>
            <w:noWrap/>
            <w:vAlign w:val="center"/>
            <w:hideMark/>
          </w:tcPr>
          <w:p w:rsidR="009D11F2" w:rsidRDefault="009D11F2" w:rsidP="008D4A9C">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34,7</w:t>
            </w:r>
          </w:p>
        </w:tc>
        <w:tc>
          <w:tcPr>
            <w:tcW w:w="458" w:type="pct"/>
            <w:tcBorders>
              <w:top w:val="single" w:sz="4" w:space="0" w:color="auto"/>
              <w:left w:val="nil"/>
              <w:bottom w:val="single" w:sz="4" w:space="0" w:color="auto"/>
              <w:right w:val="nil"/>
            </w:tcBorders>
            <w:shd w:val="clear" w:color="000000" w:fill="C9321F"/>
            <w:noWrap/>
            <w:vAlign w:val="center"/>
            <w:hideMark/>
          </w:tcPr>
          <w:p w:rsidR="009D11F2" w:rsidRDefault="009D11F2" w:rsidP="008D4A9C">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46,2</w:t>
            </w:r>
          </w:p>
        </w:tc>
        <w:tc>
          <w:tcPr>
            <w:tcW w:w="581" w:type="pct"/>
            <w:tcBorders>
              <w:top w:val="single" w:sz="4" w:space="0" w:color="auto"/>
              <w:left w:val="nil"/>
              <w:bottom w:val="single" w:sz="4" w:space="0" w:color="auto"/>
              <w:right w:val="nil"/>
            </w:tcBorders>
            <w:shd w:val="clear" w:color="000000" w:fill="C9321F"/>
            <w:noWrap/>
            <w:vAlign w:val="center"/>
            <w:hideMark/>
          </w:tcPr>
          <w:p w:rsidR="009D11F2" w:rsidRDefault="009D11F2" w:rsidP="008D4A9C">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29,1</w:t>
            </w:r>
          </w:p>
        </w:tc>
        <w:tc>
          <w:tcPr>
            <w:tcW w:w="458" w:type="pct"/>
            <w:tcBorders>
              <w:top w:val="single" w:sz="4" w:space="0" w:color="auto"/>
              <w:left w:val="nil"/>
              <w:bottom w:val="single" w:sz="4" w:space="0" w:color="auto"/>
              <w:right w:val="nil"/>
            </w:tcBorders>
            <w:shd w:val="clear" w:color="000000" w:fill="C9321F"/>
            <w:noWrap/>
            <w:vAlign w:val="center"/>
            <w:hideMark/>
          </w:tcPr>
          <w:p w:rsidR="009D11F2" w:rsidRDefault="009D11F2" w:rsidP="008D4A9C">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59,9</w:t>
            </w:r>
          </w:p>
        </w:tc>
        <w:tc>
          <w:tcPr>
            <w:tcW w:w="581" w:type="pct"/>
            <w:tcBorders>
              <w:top w:val="single" w:sz="4" w:space="0" w:color="auto"/>
              <w:left w:val="nil"/>
              <w:bottom w:val="single" w:sz="4" w:space="0" w:color="auto"/>
              <w:right w:val="nil"/>
            </w:tcBorders>
            <w:shd w:val="clear" w:color="000000" w:fill="C9321F"/>
            <w:noWrap/>
            <w:vAlign w:val="center"/>
            <w:hideMark/>
          </w:tcPr>
          <w:p w:rsidR="009D11F2" w:rsidRDefault="009D11F2" w:rsidP="008D4A9C">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27,6</w:t>
            </w:r>
          </w:p>
        </w:tc>
        <w:tc>
          <w:tcPr>
            <w:tcW w:w="458" w:type="pct"/>
            <w:tcBorders>
              <w:top w:val="single" w:sz="4" w:space="0" w:color="auto"/>
              <w:left w:val="nil"/>
              <w:bottom w:val="single" w:sz="4" w:space="0" w:color="auto"/>
              <w:right w:val="nil"/>
            </w:tcBorders>
            <w:shd w:val="clear" w:color="000000" w:fill="C9321F"/>
            <w:noWrap/>
            <w:vAlign w:val="center"/>
            <w:hideMark/>
          </w:tcPr>
          <w:p w:rsidR="009D11F2" w:rsidRDefault="009D11F2" w:rsidP="008D4A9C">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199,1</w:t>
            </w:r>
          </w:p>
        </w:tc>
      </w:tr>
      <w:tr w:rsidR="009D11F2" w:rsidTr="008D4A9C">
        <w:trPr>
          <w:trHeight w:val="255"/>
        </w:trPr>
        <w:tc>
          <w:tcPr>
            <w:tcW w:w="841" w:type="pct"/>
            <w:tcBorders>
              <w:top w:val="single" w:sz="4" w:space="0" w:color="auto"/>
              <w:left w:val="nil"/>
              <w:bottom w:val="single" w:sz="4" w:space="0" w:color="auto"/>
              <w:right w:val="nil"/>
            </w:tcBorders>
            <w:shd w:val="clear" w:color="000000" w:fill="C9321F"/>
            <w:noWrap/>
            <w:vAlign w:val="center"/>
            <w:hideMark/>
          </w:tcPr>
          <w:p w:rsidR="009D11F2" w:rsidRDefault="009D11F2" w:rsidP="008D4A9C">
            <w:pPr>
              <w:spacing w:before="40" w:after="20"/>
              <w:rPr>
                <w:rFonts w:ascii="Arial Narrow" w:hAnsi="Arial Narrow" w:cs="Calibri"/>
                <w:b/>
                <w:bCs/>
                <w:color w:val="FFFFFF"/>
                <w:sz w:val="18"/>
                <w:szCs w:val="18"/>
              </w:rPr>
            </w:pPr>
            <w:r>
              <w:rPr>
                <w:rFonts w:ascii="Arial Narrow" w:hAnsi="Arial Narrow" w:cs="Calibri"/>
                <w:b/>
                <w:bCs/>
                <w:color w:val="FFFFFF"/>
                <w:sz w:val="18"/>
                <w:szCs w:val="18"/>
              </w:rPr>
              <w:t>BASILICATA</w:t>
            </w:r>
          </w:p>
        </w:tc>
        <w:tc>
          <w:tcPr>
            <w:tcW w:w="581" w:type="pct"/>
            <w:tcBorders>
              <w:top w:val="single" w:sz="4" w:space="0" w:color="auto"/>
              <w:left w:val="nil"/>
              <w:bottom w:val="single" w:sz="4" w:space="0" w:color="auto"/>
              <w:right w:val="nil"/>
            </w:tcBorders>
            <w:shd w:val="clear" w:color="000000" w:fill="C9321F"/>
            <w:noWrap/>
            <w:vAlign w:val="center"/>
            <w:hideMark/>
          </w:tcPr>
          <w:p w:rsidR="009D11F2" w:rsidRDefault="009D11F2" w:rsidP="008D4A9C">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100,6</w:t>
            </w:r>
          </w:p>
        </w:tc>
        <w:tc>
          <w:tcPr>
            <w:tcW w:w="458" w:type="pct"/>
            <w:tcBorders>
              <w:top w:val="single" w:sz="4" w:space="0" w:color="auto"/>
              <w:left w:val="nil"/>
              <w:bottom w:val="single" w:sz="4" w:space="0" w:color="auto"/>
              <w:right w:val="nil"/>
            </w:tcBorders>
            <w:shd w:val="clear" w:color="000000" w:fill="C9321F"/>
            <w:noWrap/>
            <w:vAlign w:val="center"/>
            <w:hideMark/>
          </w:tcPr>
          <w:p w:rsidR="009D11F2" w:rsidRDefault="009D11F2" w:rsidP="008D4A9C">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96,7</w:t>
            </w:r>
          </w:p>
        </w:tc>
        <w:tc>
          <w:tcPr>
            <w:tcW w:w="581" w:type="pct"/>
            <w:tcBorders>
              <w:top w:val="single" w:sz="4" w:space="0" w:color="auto"/>
              <w:left w:val="nil"/>
              <w:bottom w:val="single" w:sz="4" w:space="0" w:color="auto"/>
              <w:right w:val="nil"/>
            </w:tcBorders>
            <w:shd w:val="clear" w:color="000000" w:fill="C9321F"/>
            <w:noWrap/>
            <w:vAlign w:val="center"/>
            <w:hideMark/>
          </w:tcPr>
          <w:p w:rsidR="009D11F2" w:rsidRDefault="009D11F2" w:rsidP="008D4A9C">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33,9</w:t>
            </w:r>
          </w:p>
        </w:tc>
        <w:tc>
          <w:tcPr>
            <w:tcW w:w="458" w:type="pct"/>
            <w:tcBorders>
              <w:top w:val="single" w:sz="4" w:space="0" w:color="auto"/>
              <w:left w:val="nil"/>
              <w:bottom w:val="single" w:sz="4" w:space="0" w:color="auto"/>
              <w:right w:val="nil"/>
            </w:tcBorders>
            <w:shd w:val="clear" w:color="000000" w:fill="C9321F"/>
            <w:noWrap/>
            <w:vAlign w:val="center"/>
            <w:hideMark/>
          </w:tcPr>
          <w:p w:rsidR="009D11F2" w:rsidRDefault="009D11F2" w:rsidP="008D4A9C">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46,2</w:t>
            </w:r>
          </w:p>
        </w:tc>
        <w:tc>
          <w:tcPr>
            <w:tcW w:w="581" w:type="pct"/>
            <w:tcBorders>
              <w:top w:val="single" w:sz="4" w:space="0" w:color="auto"/>
              <w:left w:val="nil"/>
              <w:bottom w:val="single" w:sz="4" w:space="0" w:color="auto"/>
              <w:right w:val="nil"/>
            </w:tcBorders>
            <w:shd w:val="clear" w:color="000000" w:fill="C9321F"/>
            <w:noWrap/>
            <w:vAlign w:val="center"/>
            <w:hideMark/>
          </w:tcPr>
          <w:p w:rsidR="009D11F2" w:rsidRDefault="009D11F2" w:rsidP="008D4A9C">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22,4</w:t>
            </w:r>
          </w:p>
        </w:tc>
        <w:tc>
          <w:tcPr>
            <w:tcW w:w="458" w:type="pct"/>
            <w:tcBorders>
              <w:top w:val="single" w:sz="4" w:space="0" w:color="auto"/>
              <w:left w:val="nil"/>
              <w:bottom w:val="single" w:sz="4" w:space="0" w:color="auto"/>
              <w:right w:val="nil"/>
            </w:tcBorders>
            <w:shd w:val="clear" w:color="000000" w:fill="C9321F"/>
            <w:noWrap/>
            <w:vAlign w:val="center"/>
            <w:hideMark/>
          </w:tcPr>
          <w:p w:rsidR="009D11F2" w:rsidRDefault="009D11F2" w:rsidP="008D4A9C">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56,1</w:t>
            </w:r>
          </w:p>
        </w:tc>
        <w:tc>
          <w:tcPr>
            <w:tcW w:w="581" w:type="pct"/>
            <w:tcBorders>
              <w:top w:val="single" w:sz="4" w:space="0" w:color="auto"/>
              <w:left w:val="nil"/>
              <w:bottom w:val="single" w:sz="4" w:space="0" w:color="auto"/>
              <w:right w:val="nil"/>
            </w:tcBorders>
            <w:shd w:val="clear" w:color="000000" w:fill="C9321F"/>
            <w:noWrap/>
            <w:vAlign w:val="center"/>
            <w:hideMark/>
          </w:tcPr>
          <w:p w:rsidR="009D11F2" w:rsidRDefault="009D11F2" w:rsidP="008D4A9C">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24,1</w:t>
            </w:r>
          </w:p>
        </w:tc>
        <w:tc>
          <w:tcPr>
            <w:tcW w:w="458" w:type="pct"/>
            <w:tcBorders>
              <w:top w:val="single" w:sz="4" w:space="0" w:color="auto"/>
              <w:left w:val="nil"/>
              <w:bottom w:val="single" w:sz="4" w:space="0" w:color="auto"/>
              <w:right w:val="nil"/>
            </w:tcBorders>
            <w:shd w:val="clear" w:color="000000" w:fill="C9321F"/>
            <w:noWrap/>
            <w:vAlign w:val="center"/>
            <w:hideMark/>
          </w:tcPr>
          <w:p w:rsidR="009D11F2" w:rsidRDefault="009D11F2" w:rsidP="008D4A9C">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210,4</w:t>
            </w:r>
          </w:p>
        </w:tc>
      </w:tr>
      <w:tr w:rsidR="009D11F2" w:rsidTr="008D4A9C">
        <w:trPr>
          <w:trHeight w:val="255"/>
        </w:trPr>
        <w:tc>
          <w:tcPr>
            <w:tcW w:w="841" w:type="pct"/>
            <w:tcBorders>
              <w:top w:val="single" w:sz="4" w:space="0" w:color="auto"/>
              <w:left w:val="nil"/>
              <w:bottom w:val="single" w:sz="4" w:space="0" w:color="auto"/>
              <w:right w:val="nil"/>
            </w:tcBorders>
            <w:shd w:val="clear" w:color="auto" w:fill="auto"/>
            <w:noWrap/>
            <w:vAlign w:val="center"/>
            <w:hideMark/>
          </w:tcPr>
          <w:p w:rsidR="009D11F2" w:rsidRDefault="009D11F2" w:rsidP="008D4A9C">
            <w:pPr>
              <w:spacing w:before="40" w:after="20"/>
              <w:ind w:firstLineChars="100" w:firstLine="180"/>
              <w:rPr>
                <w:rFonts w:ascii="Arial Narrow" w:hAnsi="Arial Narrow" w:cs="Calibri"/>
                <w:color w:val="000000"/>
                <w:sz w:val="18"/>
                <w:szCs w:val="18"/>
              </w:rPr>
            </w:pPr>
            <w:r>
              <w:rPr>
                <w:rFonts w:ascii="Arial Narrow" w:hAnsi="Arial Narrow" w:cs="Calibri"/>
                <w:color w:val="000000"/>
                <w:sz w:val="18"/>
                <w:szCs w:val="18"/>
              </w:rPr>
              <w:t>Matera</w:t>
            </w:r>
          </w:p>
        </w:tc>
        <w:tc>
          <w:tcPr>
            <w:tcW w:w="581" w:type="pct"/>
            <w:tcBorders>
              <w:top w:val="single" w:sz="4" w:space="0" w:color="auto"/>
              <w:left w:val="nil"/>
              <w:bottom w:val="single" w:sz="4" w:space="0" w:color="auto"/>
              <w:right w:val="nil"/>
            </w:tcBorders>
            <w:shd w:val="clear" w:color="000000" w:fill="D9D9D9"/>
            <w:noWrap/>
            <w:vAlign w:val="center"/>
            <w:hideMark/>
          </w:tcPr>
          <w:p w:rsidR="009D11F2" w:rsidRDefault="009D11F2" w:rsidP="008D4A9C">
            <w:pPr>
              <w:spacing w:before="40" w:after="20"/>
              <w:jc w:val="right"/>
              <w:rPr>
                <w:rFonts w:ascii="Arial Narrow" w:hAnsi="Arial Narrow" w:cs="Calibri"/>
                <w:color w:val="000000"/>
                <w:sz w:val="18"/>
                <w:szCs w:val="18"/>
              </w:rPr>
            </w:pPr>
            <w:r>
              <w:rPr>
                <w:rFonts w:ascii="Arial Narrow" w:hAnsi="Arial Narrow" w:cs="Calibri"/>
                <w:color w:val="000000"/>
                <w:sz w:val="18"/>
                <w:szCs w:val="18"/>
              </w:rPr>
              <w:t>103,7</w:t>
            </w:r>
          </w:p>
        </w:tc>
        <w:tc>
          <w:tcPr>
            <w:tcW w:w="458" w:type="pct"/>
            <w:tcBorders>
              <w:top w:val="single" w:sz="4" w:space="0" w:color="auto"/>
              <w:left w:val="nil"/>
              <w:bottom w:val="single" w:sz="4" w:space="0" w:color="auto"/>
              <w:right w:val="nil"/>
            </w:tcBorders>
            <w:shd w:val="clear" w:color="auto" w:fill="auto"/>
            <w:noWrap/>
            <w:vAlign w:val="center"/>
            <w:hideMark/>
          </w:tcPr>
          <w:p w:rsidR="009D11F2" w:rsidRDefault="009D11F2" w:rsidP="008D4A9C">
            <w:pPr>
              <w:spacing w:before="40" w:after="20"/>
              <w:jc w:val="right"/>
              <w:rPr>
                <w:rFonts w:ascii="Arial Narrow" w:hAnsi="Arial Narrow" w:cs="Calibri"/>
                <w:color w:val="000000"/>
                <w:sz w:val="18"/>
                <w:szCs w:val="18"/>
              </w:rPr>
            </w:pPr>
            <w:r>
              <w:rPr>
                <w:rFonts w:ascii="Arial Narrow" w:hAnsi="Arial Narrow" w:cs="Calibri"/>
                <w:color w:val="000000"/>
                <w:sz w:val="18"/>
                <w:szCs w:val="18"/>
              </w:rPr>
              <w:t>96,6</w:t>
            </w:r>
          </w:p>
        </w:tc>
        <w:tc>
          <w:tcPr>
            <w:tcW w:w="581" w:type="pct"/>
            <w:tcBorders>
              <w:top w:val="single" w:sz="4" w:space="0" w:color="auto"/>
              <w:left w:val="nil"/>
              <w:bottom w:val="single" w:sz="4" w:space="0" w:color="auto"/>
              <w:right w:val="nil"/>
            </w:tcBorders>
            <w:shd w:val="clear" w:color="000000" w:fill="D9D9D9"/>
            <w:noWrap/>
            <w:vAlign w:val="center"/>
            <w:hideMark/>
          </w:tcPr>
          <w:p w:rsidR="009D11F2" w:rsidRDefault="009D11F2" w:rsidP="008D4A9C">
            <w:pPr>
              <w:spacing w:before="40" w:after="20"/>
              <w:jc w:val="right"/>
              <w:rPr>
                <w:rFonts w:ascii="Arial Narrow" w:hAnsi="Arial Narrow" w:cs="Calibri"/>
                <w:color w:val="000000"/>
                <w:sz w:val="18"/>
                <w:szCs w:val="18"/>
              </w:rPr>
            </w:pPr>
            <w:r>
              <w:rPr>
                <w:rFonts w:ascii="Arial Narrow" w:hAnsi="Arial Narrow" w:cs="Calibri"/>
                <w:color w:val="000000"/>
                <w:sz w:val="18"/>
                <w:szCs w:val="18"/>
              </w:rPr>
              <w:t>33,3</w:t>
            </w:r>
          </w:p>
        </w:tc>
        <w:tc>
          <w:tcPr>
            <w:tcW w:w="458" w:type="pct"/>
            <w:tcBorders>
              <w:top w:val="single" w:sz="4" w:space="0" w:color="auto"/>
              <w:left w:val="nil"/>
              <w:bottom w:val="single" w:sz="4" w:space="0" w:color="auto"/>
              <w:right w:val="nil"/>
            </w:tcBorders>
            <w:shd w:val="clear" w:color="auto" w:fill="auto"/>
            <w:noWrap/>
            <w:vAlign w:val="center"/>
            <w:hideMark/>
          </w:tcPr>
          <w:p w:rsidR="009D11F2" w:rsidRDefault="009D11F2" w:rsidP="008D4A9C">
            <w:pPr>
              <w:spacing w:before="40" w:after="20"/>
              <w:jc w:val="right"/>
              <w:rPr>
                <w:rFonts w:ascii="Arial Narrow" w:hAnsi="Arial Narrow" w:cs="Calibri"/>
                <w:color w:val="000000"/>
                <w:sz w:val="18"/>
                <w:szCs w:val="18"/>
              </w:rPr>
            </w:pPr>
            <w:r>
              <w:rPr>
                <w:rFonts w:ascii="Arial Narrow" w:hAnsi="Arial Narrow" w:cs="Calibri"/>
                <w:color w:val="000000"/>
                <w:sz w:val="18"/>
                <w:szCs w:val="18"/>
              </w:rPr>
              <w:t>45,8</w:t>
            </w:r>
          </w:p>
        </w:tc>
        <w:tc>
          <w:tcPr>
            <w:tcW w:w="581" w:type="pct"/>
            <w:tcBorders>
              <w:top w:val="single" w:sz="4" w:space="0" w:color="auto"/>
              <w:left w:val="nil"/>
              <w:bottom w:val="single" w:sz="4" w:space="0" w:color="auto"/>
              <w:right w:val="nil"/>
            </w:tcBorders>
            <w:shd w:val="clear" w:color="000000" w:fill="D9D9D9"/>
            <w:noWrap/>
            <w:vAlign w:val="center"/>
            <w:hideMark/>
          </w:tcPr>
          <w:p w:rsidR="009D11F2" w:rsidRDefault="009D11F2" w:rsidP="008D4A9C">
            <w:pPr>
              <w:spacing w:before="40" w:after="20"/>
              <w:jc w:val="right"/>
              <w:rPr>
                <w:rFonts w:ascii="Arial Narrow" w:hAnsi="Arial Narrow" w:cs="Calibri"/>
                <w:color w:val="000000"/>
                <w:sz w:val="18"/>
                <w:szCs w:val="18"/>
              </w:rPr>
            </w:pPr>
            <w:r>
              <w:rPr>
                <w:rFonts w:ascii="Arial Narrow" w:hAnsi="Arial Narrow" w:cs="Calibri"/>
                <w:color w:val="000000"/>
                <w:sz w:val="18"/>
                <w:szCs w:val="18"/>
              </w:rPr>
              <w:t>24,9</w:t>
            </w:r>
          </w:p>
        </w:tc>
        <w:tc>
          <w:tcPr>
            <w:tcW w:w="458" w:type="pct"/>
            <w:tcBorders>
              <w:top w:val="single" w:sz="4" w:space="0" w:color="auto"/>
              <w:left w:val="nil"/>
              <w:bottom w:val="single" w:sz="4" w:space="0" w:color="auto"/>
              <w:right w:val="nil"/>
            </w:tcBorders>
            <w:shd w:val="clear" w:color="auto" w:fill="auto"/>
            <w:noWrap/>
            <w:vAlign w:val="center"/>
            <w:hideMark/>
          </w:tcPr>
          <w:p w:rsidR="009D11F2" w:rsidRDefault="009D11F2" w:rsidP="008D4A9C">
            <w:pPr>
              <w:spacing w:before="40" w:after="20"/>
              <w:jc w:val="right"/>
              <w:rPr>
                <w:rFonts w:ascii="Arial Narrow" w:hAnsi="Arial Narrow" w:cs="Calibri"/>
                <w:color w:val="000000"/>
                <w:sz w:val="18"/>
                <w:szCs w:val="18"/>
              </w:rPr>
            </w:pPr>
            <w:r>
              <w:rPr>
                <w:rFonts w:ascii="Arial Narrow" w:hAnsi="Arial Narrow" w:cs="Calibri"/>
                <w:color w:val="000000"/>
                <w:sz w:val="18"/>
                <w:szCs w:val="18"/>
              </w:rPr>
              <w:t>56,5</w:t>
            </w:r>
          </w:p>
        </w:tc>
        <w:tc>
          <w:tcPr>
            <w:tcW w:w="581" w:type="pct"/>
            <w:tcBorders>
              <w:top w:val="single" w:sz="4" w:space="0" w:color="auto"/>
              <w:left w:val="nil"/>
              <w:bottom w:val="single" w:sz="4" w:space="0" w:color="auto"/>
              <w:right w:val="nil"/>
            </w:tcBorders>
            <w:shd w:val="clear" w:color="000000" w:fill="D9D9D9"/>
            <w:noWrap/>
            <w:vAlign w:val="center"/>
            <w:hideMark/>
          </w:tcPr>
          <w:p w:rsidR="009D11F2" w:rsidRDefault="009D11F2" w:rsidP="008D4A9C">
            <w:pPr>
              <w:spacing w:before="40" w:after="20"/>
              <w:jc w:val="right"/>
              <w:rPr>
                <w:rFonts w:ascii="Arial Narrow" w:hAnsi="Arial Narrow" w:cs="Calibri"/>
                <w:color w:val="000000"/>
                <w:sz w:val="18"/>
                <w:szCs w:val="18"/>
              </w:rPr>
            </w:pPr>
            <w:r>
              <w:rPr>
                <w:rFonts w:ascii="Arial Narrow" w:hAnsi="Arial Narrow" w:cs="Calibri"/>
                <w:color w:val="000000"/>
                <w:sz w:val="18"/>
                <w:szCs w:val="18"/>
              </w:rPr>
              <w:t>21,5</w:t>
            </w:r>
          </w:p>
        </w:tc>
        <w:tc>
          <w:tcPr>
            <w:tcW w:w="458" w:type="pct"/>
            <w:tcBorders>
              <w:top w:val="single" w:sz="4" w:space="0" w:color="auto"/>
              <w:left w:val="nil"/>
              <w:bottom w:val="single" w:sz="4" w:space="0" w:color="auto"/>
              <w:right w:val="nil"/>
            </w:tcBorders>
            <w:shd w:val="clear" w:color="auto" w:fill="auto"/>
            <w:noWrap/>
            <w:vAlign w:val="center"/>
            <w:hideMark/>
          </w:tcPr>
          <w:p w:rsidR="009D11F2" w:rsidRDefault="009D11F2" w:rsidP="008D4A9C">
            <w:pPr>
              <w:spacing w:before="40" w:after="20"/>
              <w:jc w:val="right"/>
              <w:rPr>
                <w:rFonts w:ascii="Arial Narrow" w:hAnsi="Arial Narrow" w:cs="Calibri"/>
                <w:color w:val="000000"/>
                <w:sz w:val="18"/>
                <w:szCs w:val="18"/>
              </w:rPr>
            </w:pPr>
            <w:r>
              <w:rPr>
                <w:rFonts w:ascii="Arial Narrow" w:hAnsi="Arial Narrow" w:cs="Calibri"/>
                <w:color w:val="000000"/>
                <w:sz w:val="18"/>
                <w:szCs w:val="18"/>
              </w:rPr>
              <w:t>202,8</w:t>
            </w:r>
          </w:p>
        </w:tc>
      </w:tr>
      <w:tr w:rsidR="009D11F2" w:rsidTr="008D4A9C">
        <w:trPr>
          <w:trHeight w:val="255"/>
        </w:trPr>
        <w:tc>
          <w:tcPr>
            <w:tcW w:w="841" w:type="pct"/>
            <w:tcBorders>
              <w:top w:val="single" w:sz="4" w:space="0" w:color="auto"/>
              <w:left w:val="nil"/>
              <w:bottom w:val="single" w:sz="4" w:space="0" w:color="auto"/>
              <w:right w:val="nil"/>
            </w:tcBorders>
            <w:shd w:val="clear" w:color="auto" w:fill="auto"/>
            <w:noWrap/>
            <w:vAlign w:val="center"/>
            <w:hideMark/>
          </w:tcPr>
          <w:p w:rsidR="009D11F2" w:rsidRDefault="009D11F2" w:rsidP="008D4A9C">
            <w:pPr>
              <w:spacing w:before="40" w:after="20"/>
              <w:ind w:firstLineChars="100" w:firstLine="180"/>
              <w:rPr>
                <w:rFonts w:ascii="Arial Narrow" w:hAnsi="Arial Narrow" w:cs="Calibri"/>
                <w:color w:val="000000"/>
                <w:sz w:val="18"/>
                <w:szCs w:val="18"/>
              </w:rPr>
            </w:pPr>
            <w:r>
              <w:rPr>
                <w:rFonts w:ascii="Arial Narrow" w:hAnsi="Arial Narrow" w:cs="Calibri"/>
                <w:color w:val="000000"/>
                <w:sz w:val="18"/>
                <w:szCs w:val="18"/>
              </w:rPr>
              <w:t>Potenza</w:t>
            </w:r>
          </w:p>
        </w:tc>
        <w:tc>
          <w:tcPr>
            <w:tcW w:w="581" w:type="pct"/>
            <w:tcBorders>
              <w:top w:val="single" w:sz="4" w:space="0" w:color="auto"/>
              <w:left w:val="nil"/>
              <w:bottom w:val="single" w:sz="4" w:space="0" w:color="auto"/>
              <w:right w:val="nil"/>
            </w:tcBorders>
            <w:shd w:val="clear" w:color="000000" w:fill="D9D9D9"/>
            <w:noWrap/>
            <w:vAlign w:val="center"/>
            <w:hideMark/>
          </w:tcPr>
          <w:p w:rsidR="009D11F2" w:rsidRDefault="009D11F2" w:rsidP="008D4A9C">
            <w:pPr>
              <w:spacing w:before="40" w:after="20"/>
              <w:jc w:val="right"/>
              <w:rPr>
                <w:rFonts w:ascii="Arial Narrow" w:hAnsi="Arial Narrow" w:cs="Calibri"/>
                <w:color w:val="000000"/>
                <w:sz w:val="18"/>
                <w:szCs w:val="18"/>
              </w:rPr>
            </w:pPr>
            <w:r>
              <w:rPr>
                <w:rFonts w:ascii="Arial Narrow" w:hAnsi="Arial Narrow" w:cs="Calibri"/>
                <w:color w:val="000000"/>
                <w:sz w:val="18"/>
                <w:szCs w:val="18"/>
              </w:rPr>
              <w:t>97,9</w:t>
            </w:r>
          </w:p>
        </w:tc>
        <w:tc>
          <w:tcPr>
            <w:tcW w:w="458" w:type="pct"/>
            <w:tcBorders>
              <w:top w:val="single" w:sz="4" w:space="0" w:color="auto"/>
              <w:left w:val="nil"/>
              <w:bottom w:val="single" w:sz="4" w:space="0" w:color="auto"/>
              <w:right w:val="nil"/>
            </w:tcBorders>
            <w:shd w:val="clear" w:color="auto" w:fill="auto"/>
            <w:noWrap/>
            <w:vAlign w:val="center"/>
            <w:hideMark/>
          </w:tcPr>
          <w:p w:rsidR="009D11F2" w:rsidRDefault="009D11F2" w:rsidP="008D4A9C">
            <w:pPr>
              <w:spacing w:before="40" w:after="20"/>
              <w:jc w:val="right"/>
              <w:rPr>
                <w:rFonts w:ascii="Arial Narrow" w:hAnsi="Arial Narrow" w:cs="Calibri"/>
                <w:color w:val="000000"/>
                <w:sz w:val="18"/>
                <w:szCs w:val="18"/>
              </w:rPr>
            </w:pPr>
            <w:r>
              <w:rPr>
                <w:rFonts w:ascii="Arial Narrow" w:hAnsi="Arial Narrow" w:cs="Calibri"/>
                <w:color w:val="000000"/>
                <w:sz w:val="18"/>
                <w:szCs w:val="18"/>
              </w:rPr>
              <w:t>96,7</w:t>
            </w:r>
          </w:p>
        </w:tc>
        <w:tc>
          <w:tcPr>
            <w:tcW w:w="581" w:type="pct"/>
            <w:tcBorders>
              <w:top w:val="single" w:sz="4" w:space="0" w:color="auto"/>
              <w:left w:val="nil"/>
              <w:bottom w:val="single" w:sz="4" w:space="0" w:color="auto"/>
              <w:right w:val="nil"/>
            </w:tcBorders>
            <w:shd w:val="clear" w:color="000000" w:fill="D9D9D9"/>
            <w:noWrap/>
            <w:vAlign w:val="center"/>
            <w:hideMark/>
          </w:tcPr>
          <w:p w:rsidR="009D11F2" w:rsidRDefault="009D11F2" w:rsidP="008D4A9C">
            <w:pPr>
              <w:spacing w:before="40" w:after="20"/>
              <w:jc w:val="right"/>
              <w:rPr>
                <w:rFonts w:ascii="Arial Narrow" w:hAnsi="Arial Narrow" w:cs="Calibri"/>
                <w:color w:val="000000"/>
                <w:sz w:val="18"/>
                <w:szCs w:val="18"/>
              </w:rPr>
            </w:pPr>
            <w:r>
              <w:rPr>
                <w:rFonts w:ascii="Arial Narrow" w:hAnsi="Arial Narrow" w:cs="Calibri"/>
                <w:color w:val="000000"/>
                <w:sz w:val="18"/>
                <w:szCs w:val="18"/>
              </w:rPr>
              <w:t>34,4</w:t>
            </w:r>
          </w:p>
        </w:tc>
        <w:tc>
          <w:tcPr>
            <w:tcW w:w="458" w:type="pct"/>
            <w:tcBorders>
              <w:top w:val="single" w:sz="4" w:space="0" w:color="auto"/>
              <w:left w:val="nil"/>
              <w:bottom w:val="single" w:sz="4" w:space="0" w:color="auto"/>
              <w:right w:val="nil"/>
            </w:tcBorders>
            <w:shd w:val="clear" w:color="auto" w:fill="auto"/>
            <w:noWrap/>
            <w:vAlign w:val="center"/>
            <w:hideMark/>
          </w:tcPr>
          <w:p w:rsidR="009D11F2" w:rsidRDefault="009D11F2" w:rsidP="008D4A9C">
            <w:pPr>
              <w:spacing w:before="40" w:after="20"/>
              <w:jc w:val="right"/>
              <w:rPr>
                <w:rFonts w:ascii="Arial Narrow" w:hAnsi="Arial Narrow" w:cs="Calibri"/>
                <w:color w:val="000000"/>
                <w:sz w:val="18"/>
                <w:szCs w:val="18"/>
              </w:rPr>
            </w:pPr>
            <w:r>
              <w:rPr>
                <w:rFonts w:ascii="Arial Narrow" w:hAnsi="Arial Narrow" w:cs="Calibri"/>
                <w:color w:val="000000"/>
                <w:sz w:val="18"/>
                <w:szCs w:val="18"/>
              </w:rPr>
              <w:t>46,4</w:t>
            </w:r>
          </w:p>
        </w:tc>
        <w:tc>
          <w:tcPr>
            <w:tcW w:w="581" w:type="pct"/>
            <w:tcBorders>
              <w:top w:val="single" w:sz="4" w:space="0" w:color="auto"/>
              <w:left w:val="nil"/>
              <w:bottom w:val="single" w:sz="4" w:space="0" w:color="auto"/>
              <w:right w:val="nil"/>
            </w:tcBorders>
            <w:shd w:val="clear" w:color="000000" w:fill="D9D9D9"/>
            <w:noWrap/>
            <w:vAlign w:val="center"/>
            <w:hideMark/>
          </w:tcPr>
          <w:p w:rsidR="009D11F2" w:rsidRDefault="009D11F2" w:rsidP="008D4A9C">
            <w:pPr>
              <w:spacing w:before="40" w:after="20"/>
              <w:jc w:val="right"/>
              <w:rPr>
                <w:rFonts w:ascii="Arial Narrow" w:hAnsi="Arial Narrow" w:cs="Calibri"/>
                <w:color w:val="000000"/>
                <w:sz w:val="18"/>
                <w:szCs w:val="18"/>
              </w:rPr>
            </w:pPr>
            <w:r>
              <w:rPr>
                <w:rFonts w:ascii="Arial Narrow" w:hAnsi="Arial Narrow" w:cs="Calibri"/>
                <w:color w:val="000000"/>
                <w:sz w:val="18"/>
                <w:szCs w:val="18"/>
              </w:rPr>
              <w:t>20,2</w:t>
            </w:r>
          </w:p>
        </w:tc>
        <w:tc>
          <w:tcPr>
            <w:tcW w:w="458" w:type="pct"/>
            <w:tcBorders>
              <w:top w:val="single" w:sz="4" w:space="0" w:color="auto"/>
              <w:left w:val="nil"/>
              <w:bottom w:val="single" w:sz="4" w:space="0" w:color="auto"/>
              <w:right w:val="nil"/>
            </w:tcBorders>
            <w:shd w:val="clear" w:color="auto" w:fill="auto"/>
            <w:noWrap/>
            <w:vAlign w:val="center"/>
            <w:hideMark/>
          </w:tcPr>
          <w:p w:rsidR="009D11F2" w:rsidRDefault="009D11F2" w:rsidP="008D4A9C">
            <w:pPr>
              <w:spacing w:before="40" w:after="20"/>
              <w:jc w:val="right"/>
              <w:rPr>
                <w:rFonts w:ascii="Arial Narrow" w:hAnsi="Arial Narrow" w:cs="Calibri"/>
                <w:color w:val="000000"/>
                <w:sz w:val="18"/>
                <w:szCs w:val="18"/>
              </w:rPr>
            </w:pPr>
            <w:r>
              <w:rPr>
                <w:rFonts w:ascii="Arial Narrow" w:hAnsi="Arial Narrow" w:cs="Calibri"/>
                <w:color w:val="000000"/>
                <w:sz w:val="18"/>
                <w:szCs w:val="18"/>
              </w:rPr>
              <w:t>55,8</w:t>
            </w:r>
          </w:p>
        </w:tc>
        <w:tc>
          <w:tcPr>
            <w:tcW w:w="581" w:type="pct"/>
            <w:tcBorders>
              <w:top w:val="single" w:sz="4" w:space="0" w:color="auto"/>
              <w:left w:val="nil"/>
              <w:bottom w:val="single" w:sz="4" w:space="0" w:color="auto"/>
              <w:right w:val="nil"/>
            </w:tcBorders>
            <w:shd w:val="clear" w:color="000000" w:fill="D9D9D9"/>
            <w:noWrap/>
            <w:vAlign w:val="center"/>
            <w:hideMark/>
          </w:tcPr>
          <w:p w:rsidR="009D11F2" w:rsidRDefault="009D11F2" w:rsidP="008D4A9C">
            <w:pPr>
              <w:spacing w:before="40" w:after="20"/>
              <w:jc w:val="right"/>
              <w:rPr>
                <w:rFonts w:ascii="Arial Narrow" w:hAnsi="Arial Narrow" w:cs="Calibri"/>
                <w:color w:val="000000"/>
                <w:sz w:val="18"/>
                <w:szCs w:val="18"/>
              </w:rPr>
            </w:pPr>
            <w:r>
              <w:rPr>
                <w:rFonts w:ascii="Arial Narrow" w:hAnsi="Arial Narrow" w:cs="Calibri"/>
                <w:color w:val="000000"/>
                <w:sz w:val="18"/>
                <w:szCs w:val="18"/>
              </w:rPr>
              <w:t>26,9</w:t>
            </w:r>
          </w:p>
        </w:tc>
        <w:tc>
          <w:tcPr>
            <w:tcW w:w="458" w:type="pct"/>
            <w:tcBorders>
              <w:top w:val="single" w:sz="4" w:space="0" w:color="auto"/>
              <w:left w:val="nil"/>
              <w:bottom w:val="single" w:sz="4" w:space="0" w:color="auto"/>
              <w:right w:val="nil"/>
            </w:tcBorders>
            <w:shd w:val="clear" w:color="auto" w:fill="auto"/>
            <w:noWrap/>
            <w:vAlign w:val="center"/>
            <w:hideMark/>
          </w:tcPr>
          <w:p w:rsidR="009D11F2" w:rsidRDefault="009D11F2" w:rsidP="008D4A9C">
            <w:pPr>
              <w:spacing w:before="40" w:after="20"/>
              <w:jc w:val="right"/>
              <w:rPr>
                <w:rFonts w:ascii="Arial Narrow" w:hAnsi="Arial Narrow" w:cs="Calibri"/>
                <w:color w:val="000000"/>
                <w:sz w:val="18"/>
                <w:szCs w:val="18"/>
              </w:rPr>
            </w:pPr>
            <w:r>
              <w:rPr>
                <w:rFonts w:ascii="Arial Narrow" w:hAnsi="Arial Narrow" w:cs="Calibri"/>
                <w:color w:val="000000"/>
                <w:sz w:val="18"/>
                <w:szCs w:val="18"/>
              </w:rPr>
              <w:t>214,5</w:t>
            </w:r>
          </w:p>
        </w:tc>
      </w:tr>
    </w:tbl>
    <w:p w:rsidR="00CA07B5" w:rsidRPr="00AE3F83" w:rsidRDefault="00F815CF" w:rsidP="005B5D9A">
      <w:pPr>
        <w:keepNext/>
        <w:keepLines/>
        <w:spacing w:before="600" w:after="120"/>
        <w:jc w:val="both"/>
        <w:rPr>
          <w:rFonts w:ascii="Trebuchet MS" w:hAnsi="Trebuchet MS" w:cs="Arial"/>
          <w:b/>
          <w:color w:val="5F5F5F"/>
          <w:sz w:val="21"/>
          <w:szCs w:val="21"/>
        </w:rPr>
      </w:pPr>
      <w:r w:rsidRPr="00AE3F83">
        <w:rPr>
          <w:rFonts w:ascii="Trebuchet MS" w:hAnsi="Trebuchet MS" w:cs="Arial"/>
          <w:b/>
          <w:color w:val="5F5F5F"/>
          <w:sz w:val="21"/>
          <w:szCs w:val="21"/>
        </w:rPr>
        <w:lastRenderedPageBreak/>
        <w:t>La composizione per cittadinanza</w:t>
      </w:r>
    </w:p>
    <w:p w:rsidR="00A90213" w:rsidRPr="00D1124E" w:rsidRDefault="00A90213" w:rsidP="001A606F">
      <w:pPr>
        <w:keepNext/>
        <w:keepLines/>
        <w:tabs>
          <w:tab w:val="left" w:pos="567"/>
        </w:tabs>
        <w:spacing w:before="120" w:after="120"/>
        <w:jc w:val="both"/>
        <w:rPr>
          <w:rFonts w:ascii="Trebuchet MS" w:hAnsi="Trebuchet MS" w:cs="Arial"/>
          <w:color w:val="5F5F5F"/>
          <w:sz w:val="20"/>
          <w:szCs w:val="20"/>
        </w:rPr>
      </w:pPr>
      <w:r w:rsidRPr="00D1124E">
        <w:rPr>
          <w:rFonts w:ascii="Trebuchet MS" w:hAnsi="Trebuchet MS" w:cs="Arial"/>
          <w:color w:val="5F5F5F"/>
          <w:sz w:val="20"/>
          <w:szCs w:val="20"/>
        </w:rPr>
        <w:t xml:space="preserve">Nel 2019 </w:t>
      </w:r>
      <w:r w:rsidR="001A606F" w:rsidRPr="00D1124E">
        <w:rPr>
          <w:rFonts w:ascii="Trebuchet MS" w:hAnsi="Trebuchet MS" w:cs="Arial"/>
          <w:color w:val="5F5F5F"/>
          <w:sz w:val="20"/>
          <w:szCs w:val="20"/>
        </w:rPr>
        <w:t>oltre</w:t>
      </w:r>
      <w:r w:rsidRPr="00D1124E">
        <w:rPr>
          <w:rFonts w:ascii="Trebuchet MS" w:hAnsi="Trebuchet MS" w:cs="Arial"/>
          <w:color w:val="5F5F5F"/>
          <w:sz w:val="20"/>
          <w:szCs w:val="20"/>
        </w:rPr>
        <w:t xml:space="preserve"> la metà (</w:t>
      </w:r>
      <w:r w:rsidR="001A606F" w:rsidRPr="00D1124E">
        <w:rPr>
          <w:rFonts w:ascii="Trebuchet MS" w:hAnsi="Trebuchet MS" w:cs="Arial"/>
          <w:color w:val="5F5F5F"/>
          <w:sz w:val="20"/>
          <w:szCs w:val="20"/>
        </w:rPr>
        <w:t>59,1</w:t>
      </w:r>
      <w:r w:rsidRPr="00D1124E">
        <w:rPr>
          <w:rFonts w:ascii="Trebuchet MS" w:hAnsi="Trebuchet MS" w:cs="Arial"/>
          <w:color w:val="5F5F5F"/>
          <w:sz w:val="20"/>
          <w:szCs w:val="20"/>
        </w:rPr>
        <w:t xml:space="preserve">%) degli stranieri residenti in </w:t>
      </w:r>
      <w:r w:rsidR="00427B53" w:rsidRPr="00D1124E">
        <w:rPr>
          <w:rFonts w:ascii="Trebuchet MS" w:hAnsi="Trebuchet MS" w:cs="Arial"/>
          <w:color w:val="5F5F5F"/>
          <w:sz w:val="20"/>
          <w:szCs w:val="20"/>
        </w:rPr>
        <w:t>Basilicata</w:t>
      </w:r>
      <w:r w:rsidRPr="00D1124E">
        <w:rPr>
          <w:rFonts w:ascii="Trebuchet MS" w:hAnsi="Trebuchet MS" w:cs="Arial"/>
          <w:color w:val="5F5F5F"/>
          <w:sz w:val="20"/>
          <w:szCs w:val="20"/>
        </w:rPr>
        <w:t xml:space="preserve"> proviene dall’Europa, il </w:t>
      </w:r>
      <w:r w:rsidR="001A606F" w:rsidRPr="00D1124E">
        <w:rPr>
          <w:rFonts w:ascii="Trebuchet MS" w:hAnsi="Trebuchet MS" w:cs="Arial"/>
          <w:color w:val="5F5F5F"/>
          <w:sz w:val="20"/>
          <w:szCs w:val="20"/>
        </w:rPr>
        <w:t>24,2</w:t>
      </w:r>
      <w:r w:rsidRPr="00D1124E">
        <w:rPr>
          <w:rFonts w:ascii="Trebuchet MS" w:hAnsi="Trebuchet MS" w:cs="Arial"/>
          <w:color w:val="5F5F5F"/>
          <w:sz w:val="20"/>
          <w:szCs w:val="20"/>
        </w:rPr>
        <w:t>% è originario di un paese africano mentre i cittadini di Asia e America rappresentano</w:t>
      </w:r>
      <w:r w:rsidR="00652E84" w:rsidRPr="00D1124E">
        <w:rPr>
          <w:rFonts w:ascii="Trebuchet MS" w:hAnsi="Trebuchet MS" w:cs="Arial"/>
          <w:color w:val="5F5F5F"/>
          <w:sz w:val="20"/>
          <w:szCs w:val="20"/>
        </w:rPr>
        <w:t>,</w:t>
      </w:r>
      <w:r w:rsidRPr="00D1124E">
        <w:rPr>
          <w:rFonts w:ascii="Trebuchet MS" w:hAnsi="Trebuchet MS" w:cs="Arial"/>
          <w:color w:val="5F5F5F"/>
          <w:sz w:val="20"/>
          <w:szCs w:val="20"/>
        </w:rPr>
        <w:t xml:space="preserve"> rispettivamente</w:t>
      </w:r>
      <w:r w:rsidR="00652E84" w:rsidRPr="00D1124E">
        <w:rPr>
          <w:rFonts w:ascii="Trebuchet MS" w:hAnsi="Trebuchet MS" w:cs="Arial"/>
          <w:color w:val="5F5F5F"/>
          <w:sz w:val="20"/>
          <w:szCs w:val="20"/>
        </w:rPr>
        <w:t>,</w:t>
      </w:r>
      <w:r w:rsidRPr="00D1124E">
        <w:rPr>
          <w:rFonts w:ascii="Trebuchet MS" w:hAnsi="Trebuchet MS" w:cs="Arial"/>
          <w:color w:val="5F5F5F"/>
          <w:sz w:val="20"/>
          <w:szCs w:val="20"/>
        </w:rPr>
        <w:t xml:space="preserve"> il </w:t>
      </w:r>
      <w:r w:rsidR="00867528" w:rsidRPr="00D1124E">
        <w:rPr>
          <w:rFonts w:ascii="Trebuchet MS" w:hAnsi="Trebuchet MS" w:cs="Arial"/>
          <w:color w:val="5F5F5F"/>
          <w:sz w:val="20"/>
          <w:szCs w:val="20"/>
        </w:rPr>
        <w:t>13,4</w:t>
      </w:r>
      <w:r w:rsidRPr="00D1124E">
        <w:rPr>
          <w:rFonts w:ascii="Trebuchet MS" w:hAnsi="Trebuchet MS" w:cs="Arial"/>
          <w:color w:val="5F5F5F"/>
          <w:sz w:val="20"/>
          <w:szCs w:val="20"/>
        </w:rPr>
        <w:t xml:space="preserve">% e il </w:t>
      </w:r>
      <w:r w:rsidR="00867528" w:rsidRPr="00D1124E">
        <w:rPr>
          <w:rFonts w:ascii="Trebuchet MS" w:hAnsi="Trebuchet MS" w:cs="Arial"/>
          <w:color w:val="5F5F5F"/>
          <w:sz w:val="20"/>
          <w:szCs w:val="20"/>
        </w:rPr>
        <w:t>3,2</w:t>
      </w:r>
      <w:r w:rsidRPr="00D1124E">
        <w:rPr>
          <w:rFonts w:ascii="Trebuchet MS" w:hAnsi="Trebuchet MS" w:cs="Arial"/>
          <w:color w:val="5F5F5F"/>
          <w:sz w:val="20"/>
          <w:szCs w:val="20"/>
        </w:rPr>
        <w:t>% del totale. Del tutto residuali si rivelano le presenze dall’Oceania</w:t>
      </w:r>
      <w:r w:rsidR="00142CEE">
        <w:rPr>
          <w:rFonts w:ascii="Trebuchet MS" w:hAnsi="Trebuchet MS" w:cs="Arial"/>
          <w:color w:val="5F5F5F"/>
          <w:sz w:val="20"/>
          <w:szCs w:val="20"/>
        </w:rPr>
        <w:t>.</w:t>
      </w:r>
    </w:p>
    <w:p w:rsidR="00A90213" w:rsidRPr="00D1124E" w:rsidRDefault="00A90213" w:rsidP="00A90213">
      <w:pPr>
        <w:tabs>
          <w:tab w:val="left" w:pos="567"/>
        </w:tabs>
        <w:spacing w:before="120" w:after="120"/>
        <w:jc w:val="both"/>
        <w:rPr>
          <w:rFonts w:ascii="Trebuchet MS" w:hAnsi="Trebuchet MS" w:cs="Arial"/>
          <w:color w:val="5F5F5F"/>
          <w:sz w:val="20"/>
          <w:szCs w:val="20"/>
        </w:rPr>
      </w:pPr>
      <w:r w:rsidRPr="00D1124E">
        <w:rPr>
          <w:rFonts w:ascii="Trebuchet MS" w:hAnsi="Trebuchet MS" w:cs="Arial"/>
          <w:color w:val="5F5F5F"/>
          <w:sz w:val="20"/>
          <w:szCs w:val="20"/>
        </w:rPr>
        <w:t xml:space="preserve">Gli stranieri cittadini di un paese dell’Unione europea </w:t>
      </w:r>
      <w:r w:rsidR="00867528" w:rsidRPr="00D1124E">
        <w:rPr>
          <w:rFonts w:ascii="Trebuchet MS" w:hAnsi="Trebuchet MS" w:cs="Arial"/>
          <w:color w:val="5F5F5F"/>
          <w:sz w:val="20"/>
          <w:szCs w:val="20"/>
        </w:rPr>
        <w:t>sono il 45,3%,</w:t>
      </w:r>
      <w:r w:rsidRPr="00D1124E">
        <w:rPr>
          <w:rFonts w:ascii="Trebuchet MS" w:hAnsi="Trebuchet MS" w:cs="Arial"/>
          <w:color w:val="5F5F5F"/>
          <w:sz w:val="20"/>
          <w:szCs w:val="20"/>
        </w:rPr>
        <w:t xml:space="preserve"> quelli dall’Europa centro-orientale il </w:t>
      </w:r>
      <w:r w:rsidR="00867528" w:rsidRPr="00D1124E">
        <w:rPr>
          <w:rFonts w:ascii="Trebuchet MS" w:hAnsi="Trebuchet MS" w:cs="Arial"/>
          <w:color w:val="5F5F5F"/>
          <w:sz w:val="20"/>
          <w:szCs w:val="20"/>
        </w:rPr>
        <w:t>13,7</w:t>
      </w:r>
      <w:r w:rsidRPr="00D1124E">
        <w:rPr>
          <w:rFonts w:ascii="Trebuchet MS" w:hAnsi="Trebuchet MS" w:cs="Arial"/>
          <w:color w:val="5F5F5F"/>
          <w:sz w:val="20"/>
          <w:szCs w:val="20"/>
        </w:rPr>
        <w:t xml:space="preserve">%. Con riferimento all’Africa, l’area </w:t>
      </w:r>
      <w:r w:rsidR="00867528" w:rsidRPr="00D1124E">
        <w:rPr>
          <w:rFonts w:ascii="Trebuchet MS" w:hAnsi="Trebuchet MS" w:cs="Arial"/>
          <w:color w:val="5F5F5F"/>
          <w:sz w:val="20"/>
          <w:szCs w:val="20"/>
        </w:rPr>
        <w:t xml:space="preserve">occidentale </w:t>
      </w:r>
      <w:r w:rsidRPr="00D1124E">
        <w:rPr>
          <w:rFonts w:ascii="Trebuchet MS" w:hAnsi="Trebuchet MS" w:cs="Arial"/>
          <w:color w:val="5F5F5F"/>
          <w:sz w:val="20"/>
          <w:szCs w:val="20"/>
        </w:rPr>
        <w:t>è quella maggiormente rappresentata (11,</w:t>
      </w:r>
      <w:r w:rsidR="00867528" w:rsidRPr="00D1124E">
        <w:rPr>
          <w:rFonts w:ascii="Trebuchet MS" w:hAnsi="Trebuchet MS" w:cs="Arial"/>
          <w:color w:val="5F5F5F"/>
          <w:sz w:val="20"/>
          <w:szCs w:val="20"/>
        </w:rPr>
        <w:t>7</w:t>
      </w:r>
      <w:r w:rsidRPr="00D1124E">
        <w:rPr>
          <w:rFonts w:ascii="Trebuchet MS" w:hAnsi="Trebuchet MS" w:cs="Arial"/>
          <w:color w:val="5F5F5F"/>
          <w:sz w:val="20"/>
          <w:szCs w:val="20"/>
        </w:rPr>
        <w:t>% del totale stranieri)</w:t>
      </w:r>
      <w:r w:rsidR="006371BC" w:rsidRPr="00D1124E">
        <w:rPr>
          <w:rFonts w:ascii="Trebuchet MS" w:hAnsi="Trebuchet MS" w:cs="Arial"/>
          <w:color w:val="5F5F5F"/>
          <w:sz w:val="20"/>
          <w:szCs w:val="20"/>
        </w:rPr>
        <w:t>,</w:t>
      </w:r>
      <w:r w:rsidRPr="00D1124E">
        <w:rPr>
          <w:rFonts w:ascii="Trebuchet MS" w:hAnsi="Trebuchet MS" w:cs="Arial"/>
          <w:color w:val="5F5F5F"/>
          <w:sz w:val="20"/>
          <w:szCs w:val="20"/>
        </w:rPr>
        <w:t xml:space="preserve"> seguita da quella </w:t>
      </w:r>
      <w:r w:rsidR="00867528" w:rsidRPr="00D1124E">
        <w:rPr>
          <w:rFonts w:ascii="Trebuchet MS" w:hAnsi="Trebuchet MS" w:cs="Arial"/>
          <w:color w:val="5F5F5F"/>
          <w:sz w:val="20"/>
          <w:szCs w:val="20"/>
        </w:rPr>
        <w:t xml:space="preserve">settentrionale </w:t>
      </w:r>
      <w:r w:rsidRPr="00D1124E">
        <w:rPr>
          <w:rFonts w:ascii="Trebuchet MS" w:hAnsi="Trebuchet MS" w:cs="Arial"/>
          <w:color w:val="5F5F5F"/>
          <w:sz w:val="20"/>
          <w:szCs w:val="20"/>
        </w:rPr>
        <w:t>(11,</w:t>
      </w:r>
      <w:r w:rsidR="00867528" w:rsidRPr="00D1124E">
        <w:rPr>
          <w:rFonts w:ascii="Trebuchet MS" w:hAnsi="Trebuchet MS" w:cs="Arial"/>
          <w:color w:val="5F5F5F"/>
          <w:sz w:val="20"/>
          <w:szCs w:val="20"/>
        </w:rPr>
        <w:t>4</w:t>
      </w:r>
      <w:r w:rsidRPr="00D1124E">
        <w:rPr>
          <w:rFonts w:ascii="Trebuchet MS" w:hAnsi="Trebuchet MS" w:cs="Arial"/>
          <w:color w:val="5F5F5F"/>
          <w:sz w:val="20"/>
          <w:szCs w:val="20"/>
        </w:rPr>
        <w:t xml:space="preserve">%). I cittadini asiatici provengono in prevalenza da paesi centro-meridionali e orientali del continente (rispettivamente </w:t>
      </w:r>
      <w:r w:rsidR="00867528" w:rsidRPr="00D1124E">
        <w:rPr>
          <w:rFonts w:ascii="Trebuchet MS" w:hAnsi="Trebuchet MS" w:cs="Arial"/>
          <w:color w:val="5F5F5F"/>
          <w:sz w:val="20"/>
          <w:szCs w:val="20"/>
        </w:rPr>
        <w:t>7,6</w:t>
      </w:r>
      <w:r w:rsidRPr="00D1124E">
        <w:rPr>
          <w:rFonts w:ascii="Trebuchet MS" w:hAnsi="Trebuchet MS" w:cs="Arial"/>
          <w:color w:val="5F5F5F"/>
          <w:sz w:val="20"/>
          <w:szCs w:val="20"/>
        </w:rPr>
        <w:t xml:space="preserve">% e </w:t>
      </w:r>
      <w:r w:rsidR="00867528" w:rsidRPr="00D1124E">
        <w:rPr>
          <w:rFonts w:ascii="Trebuchet MS" w:hAnsi="Trebuchet MS" w:cs="Arial"/>
          <w:color w:val="5F5F5F"/>
          <w:sz w:val="20"/>
          <w:szCs w:val="20"/>
        </w:rPr>
        <w:t>4</w:t>
      </w:r>
      <w:r w:rsidRPr="00D1124E">
        <w:rPr>
          <w:rFonts w:ascii="Trebuchet MS" w:hAnsi="Trebuchet MS" w:cs="Arial"/>
          <w:color w:val="5F5F5F"/>
          <w:sz w:val="20"/>
          <w:szCs w:val="20"/>
        </w:rPr>
        <w:t>,8%)</w:t>
      </w:r>
      <w:r w:rsidR="00182598">
        <w:rPr>
          <w:rFonts w:ascii="Trebuchet MS" w:hAnsi="Trebuchet MS" w:cs="Arial"/>
          <w:color w:val="5F5F5F"/>
          <w:sz w:val="20"/>
          <w:szCs w:val="20"/>
        </w:rPr>
        <w:t>.</w:t>
      </w:r>
      <w:r w:rsidRPr="00D1124E">
        <w:rPr>
          <w:rFonts w:ascii="Trebuchet MS" w:hAnsi="Trebuchet MS" w:cs="Arial"/>
          <w:color w:val="5F5F5F"/>
          <w:sz w:val="20"/>
          <w:szCs w:val="20"/>
        </w:rPr>
        <w:t xml:space="preserve"> Infine, il </w:t>
      </w:r>
      <w:r w:rsidR="00867528" w:rsidRPr="00D1124E">
        <w:rPr>
          <w:rFonts w:ascii="Trebuchet MS" w:hAnsi="Trebuchet MS" w:cs="Arial"/>
          <w:color w:val="5F5F5F"/>
          <w:sz w:val="20"/>
          <w:szCs w:val="20"/>
        </w:rPr>
        <w:t>2,9</w:t>
      </w:r>
      <w:r w:rsidRPr="00D1124E">
        <w:rPr>
          <w:rFonts w:ascii="Trebuchet MS" w:hAnsi="Trebuchet MS" w:cs="Arial"/>
          <w:color w:val="5F5F5F"/>
          <w:sz w:val="20"/>
          <w:szCs w:val="20"/>
        </w:rPr>
        <w:t xml:space="preserve">% di tutti gli stranieri </w:t>
      </w:r>
      <w:r w:rsidR="004625C1" w:rsidRPr="00D1124E">
        <w:rPr>
          <w:rFonts w:ascii="Trebuchet MS" w:hAnsi="Trebuchet MS" w:cs="Arial"/>
          <w:color w:val="5F5F5F"/>
          <w:sz w:val="20"/>
          <w:szCs w:val="20"/>
        </w:rPr>
        <w:t xml:space="preserve">residenti </w:t>
      </w:r>
      <w:r w:rsidRPr="00D1124E">
        <w:rPr>
          <w:rFonts w:ascii="Trebuchet MS" w:hAnsi="Trebuchet MS" w:cs="Arial"/>
          <w:color w:val="5F5F5F"/>
          <w:sz w:val="20"/>
          <w:szCs w:val="20"/>
        </w:rPr>
        <w:t>è originario di un paese dell’America centro-meridionale.</w:t>
      </w:r>
    </w:p>
    <w:p w:rsidR="00A90213" w:rsidRPr="00D1124E" w:rsidRDefault="00A90213" w:rsidP="00A90213">
      <w:pPr>
        <w:tabs>
          <w:tab w:val="left" w:pos="567"/>
        </w:tabs>
        <w:spacing w:before="120" w:after="120"/>
        <w:jc w:val="both"/>
        <w:rPr>
          <w:rFonts w:ascii="Trebuchet MS" w:hAnsi="Trebuchet MS" w:cs="Arial"/>
          <w:color w:val="5F5F5F"/>
          <w:sz w:val="20"/>
          <w:szCs w:val="20"/>
        </w:rPr>
      </w:pPr>
      <w:r w:rsidRPr="00D1124E">
        <w:rPr>
          <w:rFonts w:ascii="Trebuchet MS" w:hAnsi="Trebuchet MS" w:cs="Arial"/>
          <w:color w:val="5F5F5F"/>
          <w:sz w:val="20"/>
          <w:szCs w:val="20"/>
        </w:rPr>
        <w:t xml:space="preserve">Il rapporto </w:t>
      </w:r>
      <w:r w:rsidR="004625C1" w:rsidRPr="00D1124E">
        <w:rPr>
          <w:rFonts w:ascii="Trebuchet MS" w:hAnsi="Trebuchet MS" w:cs="Arial"/>
          <w:color w:val="5F5F5F"/>
          <w:sz w:val="20"/>
          <w:szCs w:val="20"/>
        </w:rPr>
        <w:t>di genere</w:t>
      </w:r>
      <w:r w:rsidRPr="00D1124E">
        <w:rPr>
          <w:rFonts w:ascii="Trebuchet MS" w:hAnsi="Trebuchet MS" w:cs="Arial"/>
          <w:color w:val="5F5F5F"/>
          <w:sz w:val="20"/>
          <w:szCs w:val="20"/>
        </w:rPr>
        <w:t xml:space="preserve"> nella popolazione straniera è eterogeneo rispetto alle varie provenienze. L’incidenza della popolazione femminile prevale tra gli europei (</w:t>
      </w:r>
      <w:r w:rsidR="00867528" w:rsidRPr="00D1124E">
        <w:rPr>
          <w:rFonts w:ascii="Trebuchet MS" w:hAnsi="Trebuchet MS" w:cs="Arial"/>
          <w:color w:val="5F5F5F"/>
          <w:sz w:val="20"/>
          <w:szCs w:val="20"/>
        </w:rPr>
        <w:t>60,6</w:t>
      </w:r>
      <w:r w:rsidRPr="00D1124E">
        <w:rPr>
          <w:rFonts w:ascii="Trebuchet MS" w:hAnsi="Trebuchet MS" w:cs="Arial"/>
          <w:color w:val="5F5F5F"/>
          <w:sz w:val="20"/>
          <w:szCs w:val="20"/>
        </w:rPr>
        <w:t>%) e</w:t>
      </w:r>
      <w:r w:rsidR="004625C1" w:rsidRPr="00D1124E">
        <w:rPr>
          <w:rFonts w:ascii="Trebuchet MS" w:hAnsi="Trebuchet MS" w:cs="Arial"/>
          <w:color w:val="5F5F5F"/>
          <w:sz w:val="20"/>
          <w:szCs w:val="20"/>
        </w:rPr>
        <w:t xml:space="preserve"> tra</w:t>
      </w:r>
      <w:r w:rsidRPr="00D1124E">
        <w:rPr>
          <w:rFonts w:ascii="Trebuchet MS" w:hAnsi="Trebuchet MS" w:cs="Arial"/>
          <w:color w:val="5F5F5F"/>
          <w:sz w:val="20"/>
          <w:szCs w:val="20"/>
        </w:rPr>
        <w:t xml:space="preserve"> gli americani (</w:t>
      </w:r>
      <w:r w:rsidR="00867528" w:rsidRPr="00D1124E">
        <w:rPr>
          <w:rFonts w:ascii="Trebuchet MS" w:hAnsi="Trebuchet MS" w:cs="Arial"/>
          <w:color w:val="5F5F5F"/>
          <w:sz w:val="20"/>
          <w:szCs w:val="20"/>
        </w:rPr>
        <w:t>72,9</w:t>
      </w:r>
      <w:r w:rsidRPr="00D1124E">
        <w:rPr>
          <w:rFonts w:ascii="Trebuchet MS" w:hAnsi="Trebuchet MS" w:cs="Arial"/>
          <w:color w:val="5F5F5F"/>
          <w:sz w:val="20"/>
          <w:szCs w:val="20"/>
        </w:rPr>
        <w:t>%). È minoritaria tra gli africani (</w:t>
      </w:r>
      <w:r w:rsidR="00867528" w:rsidRPr="00D1124E">
        <w:rPr>
          <w:rFonts w:ascii="Trebuchet MS" w:hAnsi="Trebuchet MS" w:cs="Arial"/>
          <w:color w:val="5F5F5F"/>
          <w:sz w:val="20"/>
          <w:szCs w:val="20"/>
        </w:rPr>
        <w:t>28,2</w:t>
      </w:r>
      <w:r w:rsidRPr="00D1124E">
        <w:rPr>
          <w:rFonts w:ascii="Trebuchet MS" w:hAnsi="Trebuchet MS" w:cs="Arial"/>
          <w:color w:val="5F5F5F"/>
          <w:sz w:val="20"/>
          <w:szCs w:val="20"/>
        </w:rPr>
        <w:t>%), soprattutto tra i cittadini dell’area occidentale del continente (</w:t>
      </w:r>
      <w:r w:rsidR="00867528" w:rsidRPr="00D1124E">
        <w:rPr>
          <w:rFonts w:ascii="Trebuchet MS" w:hAnsi="Trebuchet MS" w:cs="Arial"/>
          <w:color w:val="5F5F5F"/>
          <w:sz w:val="20"/>
          <w:szCs w:val="20"/>
        </w:rPr>
        <w:t>14,0</w:t>
      </w:r>
      <w:r w:rsidRPr="00D1124E">
        <w:rPr>
          <w:rFonts w:ascii="Trebuchet MS" w:hAnsi="Trebuchet MS" w:cs="Arial"/>
          <w:color w:val="5F5F5F"/>
          <w:sz w:val="20"/>
          <w:szCs w:val="20"/>
        </w:rPr>
        <w:t>%)</w:t>
      </w:r>
      <w:r w:rsidR="003061E1">
        <w:rPr>
          <w:rFonts w:ascii="Trebuchet MS" w:hAnsi="Trebuchet MS" w:cs="Arial"/>
          <w:color w:val="5F5F5F"/>
          <w:sz w:val="20"/>
          <w:szCs w:val="20"/>
        </w:rPr>
        <w:t xml:space="preserve"> mentre</w:t>
      </w:r>
      <w:r w:rsidR="002B5BD5" w:rsidRPr="00D1124E">
        <w:rPr>
          <w:rFonts w:ascii="Trebuchet MS" w:hAnsi="Trebuchet MS" w:cs="Arial"/>
          <w:color w:val="5F5F5F"/>
          <w:sz w:val="20"/>
          <w:szCs w:val="20"/>
        </w:rPr>
        <w:t>tra i cittadini provenienti</w:t>
      </w:r>
      <w:r w:rsidRPr="00D1124E">
        <w:rPr>
          <w:rFonts w:ascii="Trebuchet MS" w:hAnsi="Trebuchet MS" w:cs="Arial"/>
          <w:color w:val="5F5F5F"/>
          <w:sz w:val="20"/>
          <w:szCs w:val="20"/>
        </w:rPr>
        <w:t xml:space="preserve"> dal resto del continente </w:t>
      </w:r>
      <w:r w:rsidR="002B5BD5" w:rsidRPr="00D1124E">
        <w:rPr>
          <w:rFonts w:ascii="Trebuchet MS" w:hAnsi="Trebuchet MS" w:cs="Arial"/>
          <w:color w:val="5F5F5F"/>
          <w:sz w:val="20"/>
          <w:szCs w:val="20"/>
        </w:rPr>
        <w:t xml:space="preserve">la percentuale di donne </w:t>
      </w:r>
      <w:r w:rsidRPr="00D1124E">
        <w:rPr>
          <w:rFonts w:ascii="Trebuchet MS" w:hAnsi="Trebuchet MS" w:cs="Arial"/>
          <w:color w:val="5F5F5F"/>
          <w:sz w:val="20"/>
          <w:szCs w:val="20"/>
        </w:rPr>
        <w:t>super</w:t>
      </w:r>
      <w:r w:rsidR="002B5BD5" w:rsidRPr="00D1124E">
        <w:rPr>
          <w:rFonts w:ascii="Trebuchet MS" w:hAnsi="Trebuchet MS" w:cs="Arial"/>
          <w:color w:val="5F5F5F"/>
          <w:sz w:val="20"/>
          <w:szCs w:val="20"/>
        </w:rPr>
        <w:t>ail 40,0</w:t>
      </w:r>
      <w:r w:rsidRPr="00D1124E">
        <w:rPr>
          <w:rFonts w:ascii="Trebuchet MS" w:hAnsi="Trebuchet MS" w:cs="Arial"/>
          <w:color w:val="5F5F5F"/>
          <w:sz w:val="20"/>
          <w:szCs w:val="20"/>
        </w:rPr>
        <w:t>%</w:t>
      </w:r>
      <w:r w:rsidR="002B5BD5" w:rsidRPr="00D1124E">
        <w:rPr>
          <w:rFonts w:ascii="Trebuchet MS" w:hAnsi="Trebuchet MS" w:cs="Arial"/>
          <w:color w:val="5F5F5F"/>
          <w:sz w:val="20"/>
          <w:szCs w:val="20"/>
        </w:rPr>
        <w:t>.</w:t>
      </w:r>
      <w:r w:rsidRPr="00D1124E">
        <w:rPr>
          <w:rFonts w:ascii="Trebuchet MS" w:hAnsi="Trebuchet MS" w:cs="Arial"/>
          <w:color w:val="5F5F5F"/>
          <w:sz w:val="20"/>
          <w:szCs w:val="20"/>
        </w:rPr>
        <w:t xml:space="preserve"> Gli asiatici registrano una quota di popolazione femminile pari al </w:t>
      </w:r>
      <w:r w:rsidR="002B5BD5" w:rsidRPr="00D1124E">
        <w:rPr>
          <w:rFonts w:ascii="Trebuchet MS" w:hAnsi="Trebuchet MS" w:cs="Arial"/>
          <w:color w:val="5F5F5F"/>
          <w:sz w:val="20"/>
          <w:szCs w:val="20"/>
        </w:rPr>
        <w:t>35,7</w:t>
      </w:r>
      <w:r w:rsidRPr="00D1124E">
        <w:rPr>
          <w:rFonts w:ascii="Trebuchet MS" w:hAnsi="Trebuchet MS" w:cs="Arial"/>
          <w:color w:val="5F5F5F"/>
          <w:sz w:val="20"/>
          <w:szCs w:val="20"/>
        </w:rPr>
        <w:t>%, con valori inferiori alla media per le comunità dell’Asia centro-meridionale (</w:t>
      </w:r>
      <w:r w:rsidR="002B5BD5" w:rsidRPr="00D1124E">
        <w:rPr>
          <w:rFonts w:ascii="Trebuchet MS" w:hAnsi="Trebuchet MS" w:cs="Arial"/>
          <w:color w:val="5F5F5F"/>
          <w:sz w:val="20"/>
          <w:szCs w:val="20"/>
        </w:rPr>
        <w:t>23,1</w:t>
      </w:r>
      <w:r w:rsidRPr="00D1124E">
        <w:rPr>
          <w:rFonts w:ascii="Trebuchet MS" w:hAnsi="Trebuchet MS" w:cs="Arial"/>
          <w:color w:val="5F5F5F"/>
          <w:sz w:val="20"/>
          <w:szCs w:val="20"/>
        </w:rPr>
        <w:t xml:space="preserve">%). </w:t>
      </w:r>
    </w:p>
    <w:p w:rsidR="00A90213" w:rsidRDefault="00A90213" w:rsidP="00CA07B5">
      <w:pPr>
        <w:pStyle w:val="Default"/>
        <w:jc w:val="both"/>
        <w:rPr>
          <w:rFonts w:ascii="Trebuchet MS" w:hAnsi="Trebuchet MS"/>
          <w:color w:val="5F5F5F"/>
          <w:sz w:val="20"/>
          <w:szCs w:val="20"/>
        </w:rPr>
      </w:pPr>
      <w:r w:rsidRPr="00D1124E">
        <w:rPr>
          <w:rFonts w:ascii="Trebuchet MS" w:hAnsi="Trebuchet MS"/>
          <w:color w:val="5F5F5F"/>
          <w:sz w:val="20"/>
          <w:szCs w:val="20"/>
        </w:rPr>
        <w:t xml:space="preserve">Rispetto </w:t>
      </w:r>
      <w:r w:rsidR="004625C1" w:rsidRPr="00D1124E">
        <w:rPr>
          <w:rFonts w:ascii="Trebuchet MS" w:hAnsi="Trebuchet MS"/>
          <w:color w:val="5F5F5F"/>
          <w:sz w:val="20"/>
          <w:szCs w:val="20"/>
        </w:rPr>
        <w:t>alla media nazionale</w:t>
      </w:r>
      <w:r w:rsidRPr="00D1124E">
        <w:rPr>
          <w:rFonts w:ascii="Trebuchet MS" w:hAnsi="Trebuchet MS"/>
          <w:color w:val="5F5F5F"/>
          <w:sz w:val="20"/>
          <w:szCs w:val="20"/>
        </w:rPr>
        <w:t xml:space="preserve">, nel 2019 in </w:t>
      </w:r>
      <w:r w:rsidR="00427B53" w:rsidRPr="00D1124E">
        <w:rPr>
          <w:rFonts w:ascii="Trebuchet MS" w:hAnsi="Trebuchet MS"/>
          <w:color w:val="5F5F5F"/>
          <w:sz w:val="20"/>
          <w:szCs w:val="20"/>
        </w:rPr>
        <w:t>Basilicata</w:t>
      </w:r>
      <w:r w:rsidRPr="00D1124E">
        <w:rPr>
          <w:rFonts w:ascii="Trebuchet MS" w:hAnsi="Trebuchet MS"/>
          <w:color w:val="5F5F5F"/>
          <w:sz w:val="20"/>
          <w:szCs w:val="20"/>
        </w:rPr>
        <w:t xml:space="preserve"> è maggiore la quota di </w:t>
      </w:r>
      <w:r w:rsidR="002B5BD5" w:rsidRPr="00D1124E">
        <w:rPr>
          <w:rFonts w:ascii="Trebuchet MS" w:hAnsi="Trebuchet MS"/>
          <w:color w:val="5F5F5F"/>
          <w:sz w:val="20"/>
          <w:szCs w:val="20"/>
        </w:rPr>
        <w:t>europei</w:t>
      </w:r>
      <w:r w:rsidRPr="00D1124E">
        <w:rPr>
          <w:rFonts w:ascii="Trebuchet MS" w:hAnsi="Trebuchet MS"/>
          <w:color w:val="5F5F5F"/>
          <w:sz w:val="20"/>
          <w:szCs w:val="20"/>
        </w:rPr>
        <w:t xml:space="preserve"> (</w:t>
      </w:r>
      <w:r w:rsidR="002B5BD5" w:rsidRPr="00D1124E">
        <w:rPr>
          <w:rFonts w:ascii="Trebuchet MS" w:hAnsi="Trebuchet MS"/>
          <w:color w:val="5F5F5F"/>
          <w:sz w:val="20"/>
          <w:szCs w:val="20"/>
        </w:rPr>
        <w:t>59,1</w:t>
      </w:r>
      <w:r w:rsidRPr="00D1124E">
        <w:rPr>
          <w:rFonts w:ascii="Trebuchet MS" w:hAnsi="Trebuchet MS"/>
          <w:color w:val="5F5F5F"/>
          <w:sz w:val="20"/>
          <w:szCs w:val="20"/>
        </w:rPr>
        <w:t xml:space="preserve">% contro </w:t>
      </w:r>
      <w:r w:rsidR="002B5BD5" w:rsidRPr="00D1124E">
        <w:rPr>
          <w:rFonts w:ascii="Trebuchet MS" w:hAnsi="Trebuchet MS"/>
          <w:color w:val="5F5F5F"/>
          <w:sz w:val="20"/>
          <w:szCs w:val="20"/>
        </w:rPr>
        <w:t>49,6</w:t>
      </w:r>
      <w:r w:rsidRPr="00D1124E">
        <w:rPr>
          <w:rFonts w:ascii="Trebuchet MS" w:hAnsi="Trebuchet MS"/>
          <w:color w:val="5F5F5F"/>
          <w:sz w:val="20"/>
          <w:szCs w:val="20"/>
        </w:rPr>
        <w:t xml:space="preserve">%) </w:t>
      </w:r>
      <w:r w:rsidR="002B5BD5" w:rsidRPr="00D1124E">
        <w:rPr>
          <w:rFonts w:ascii="Trebuchet MS" w:hAnsi="Trebuchet MS"/>
          <w:color w:val="5F5F5F"/>
          <w:sz w:val="20"/>
          <w:szCs w:val="20"/>
        </w:rPr>
        <w:t>e africani (24,2% contro 22,0%)</w:t>
      </w:r>
      <w:r w:rsidR="00595342" w:rsidRPr="00D1124E">
        <w:rPr>
          <w:rFonts w:ascii="Trebuchet MS" w:hAnsi="Trebuchet MS"/>
          <w:color w:val="5F5F5F"/>
          <w:sz w:val="20"/>
          <w:szCs w:val="20"/>
        </w:rPr>
        <w:t>,</w:t>
      </w:r>
      <w:r w:rsidR="00BB1CD0" w:rsidRPr="00D1124E">
        <w:rPr>
          <w:rFonts w:ascii="Trebuchet MS" w:hAnsi="Trebuchet MS"/>
          <w:color w:val="5F5F5F"/>
          <w:sz w:val="20"/>
          <w:szCs w:val="20"/>
        </w:rPr>
        <w:t>è inferiore</w:t>
      </w:r>
      <w:r w:rsidRPr="00D1124E">
        <w:rPr>
          <w:rFonts w:ascii="Trebuchet MS" w:hAnsi="Trebuchet MS"/>
          <w:color w:val="5F5F5F"/>
          <w:sz w:val="20"/>
          <w:szCs w:val="20"/>
        </w:rPr>
        <w:t xml:space="preserve"> quella di </w:t>
      </w:r>
      <w:r w:rsidR="00595342" w:rsidRPr="00D1124E">
        <w:rPr>
          <w:rFonts w:ascii="Trebuchet MS" w:hAnsi="Trebuchet MS"/>
          <w:color w:val="5F5F5F"/>
          <w:sz w:val="20"/>
          <w:szCs w:val="20"/>
        </w:rPr>
        <w:t xml:space="preserve">asiatici (13,4% contro 21,0%) </w:t>
      </w:r>
      <w:r w:rsidR="00D5536E" w:rsidRPr="00D1124E">
        <w:rPr>
          <w:rFonts w:ascii="Trebuchet MS" w:hAnsi="Trebuchet MS"/>
          <w:color w:val="5F5F5F"/>
          <w:sz w:val="20"/>
          <w:szCs w:val="20"/>
        </w:rPr>
        <w:t>e americani</w:t>
      </w:r>
      <w:r w:rsidRPr="00D1124E">
        <w:rPr>
          <w:rFonts w:ascii="Trebuchet MS" w:hAnsi="Trebuchet MS"/>
          <w:color w:val="5F5F5F"/>
          <w:sz w:val="20"/>
          <w:szCs w:val="20"/>
        </w:rPr>
        <w:t xml:space="preserve"> (</w:t>
      </w:r>
      <w:r w:rsidR="00595342" w:rsidRPr="00D1124E">
        <w:rPr>
          <w:rFonts w:ascii="Trebuchet MS" w:hAnsi="Trebuchet MS"/>
          <w:color w:val="5F5F5F"/>
          <w:sz w:val="20"/>
          <w:szCs w:val="20"/>
        </w:rPr>
        <w:t>3,2</w:t>
      </w:r>
      <w:r w:rsidRPr="00D1124E">
        <w:rPr>
          <w:rFonts w:ascii="Trebuchet MS" w:hAnsi="Trebuchet MS"/>
          <w:color w:val="5F5F5F"/>
          <w:sz w:val="20"/>
          <w:szCs w:val="20"/>
        </w:rPr>
        <w:t xml:space="preserve">% contro 7,3%). </w:t>
      </w:r>
      <w:r w:rsidR="00595342" w:rsidRPr="00D1124E">
        <w:rPr>
          <w:rFonts w:ascii="Trebuchet MS" w:hAnsi="Trebuchet MS"/>
          <w:color w:val="5F5F5F"/>
          <w:sz w:val="20"/>
          <w:szCs w:val="20"/>
        </w:rPr>
        <w:t>A livello provinciale, l</w:t>
      </w:r>
      <w:r w:rsidRPr="00D1124E">
        <w:rPr>
          <w:rFonts w:ascii="Trebuchet MS" w:hAnsi="Trebuchet MS"/>
          <w:color w:val="5F5F5F"/>
          <w:sz w:val="20"/>
          <w:szCs w:val="20"/>
        </w:rPr>
        <w:t xml:space="preserve">’incidenza dei vari continenti </w:t>
      </w:r>
      <w:r w:rsidR="00595342" w:rsidRPr="00D1124E">
        <w:rPr>
          <w:rFonts w:ascii="Trebuchet MS" w:hAnsi="Trebuchet MS"/>
          <w:color w:val="5F5F5F"/>
          <w:sz w:val="20"/>
          <w:szCs w:val="20"/>
        </w:rPr>
        <w:t>nella composizione della popolazione straniera non presenta differenze di rilievo. In tutte e due le province oltre la metà degli stranieri è di origine europea (61,7% a Matera e 56,8% a Potenza), seguono i citta</w:t>
      </w:r>
      <w:r w:rsidR="00D5536E">
        <w:rPr>
          <w:rFonts w:ascii="Trebuchet MS" w:hAnsi="Trebuchet MS"/>
          <w:color w:val="5F5F5F"/>
          <w:sz w:val="20"/>
          <w:szCs w:val="20"/>
        </w:rPr>
        <w:t>di</w:t>
      </w:r>
      <w:r w:rsidR="00595342" w:rsidRPr="00D1124E">
        <w:rPr>
          <w:rFonts w:ascii="Trebuchet MS" w:hAnsi="Trebuchet MS"/>
          <w:color w:val="5F5F5F"/>
          <w:sz w:val="20"/>
          <w:szCs w:val="20"/>
        </w:rPr>
        <w:t>ni africani (</w:t>
      </w:r>
      <w:r w:rsidR="00D1124E" w:rsidRPr="00D1124E">
        <w:rPr>
          <w:rFonts w:ascii="Trebuchet MS" w:hAnsi="Trebuchet MS"/>
          <w:color w:val="5F5F5F"/>
          <w:sz w:val="20"/>
          <w:szCs w:val="20"/>
        </w:rPr>
        <w:t>20,8% e 27,3%, rispettivamente) e quelli di origine asiatica (15,1% a Matera e 12,0% a Potenza</w:t>
      </w:r>
      <w:r w:rsidR="008C5DF1" w:rsidRPr="00D1124E">
        <w:rPr>
          <w:rFonts w:ascii="Trebuchet MS" w:hAnsi="Trebuchet MS"/>
          <w:color w:val="5F5F5F"/>
          <w:sz w:val="20"/>
          <w:szCs w:val="20"/>
        </w:rPr>
        <w:t>).</w:t>
      </w:r>
    </w:p>
    <w:p w:rsidR="00CA07B5" w:rsidRPr="00710C34" w:rsidRDefault="00CA07B5" w:rsidP="00E072ED">
      <w:pPr>
        <w:pStyle w:val="Default"/>
        <w:keepNext/>
        <w:keepLines/>
        <w:spacing w:before="240" w:after="60"/>
        <w:jc w:val="both"/>
        <w:rPr>
          <w:rFonts w:ascii="Arial Narrow" w:hAnsi="Arial Narrow"/>
          <w:bCs/>
          <w:color w:val="595959" w:themeColor="text1" w:themeTint="A6"/>
          <w:kern w:val="28"/>
          <w:sz w:val="20"/>
          <w:szCs w:val="20"/>
        </w:rPr>
      </w:pPr>
      <w:r w:rsidRPr="00710C34">
        <w:rPr>
          <w:rFonts w:ascii="Arial Narrow" w:eastAsia="Calibri" w:hAnsi="Arial Narrow" w:cs="Times New Roman"/>
          <w:b/>
          <w:color w:val="595959" w:themeColor="text1" w:themeTint="A6"/>
          <w:kern w:val="28"/>
          <w:sz w:val="22"/>
          <w:szCs w:val="22"/>
          <w:lang w:eastAsia="en-US"/>
        </w:rPr>
        <w:t xml:space="preserve">PROSPETTO </w:t>
      </w:r>
      <w:r w:rsidR="00A7043C" w:rsidRPr="00710C34">
        <w:rPr>
          <w:rFonts w:ascii="Arial Narrow" w:eastAsia="Calibri" w:hAnsi="Arial Narrow" w:cs="Times New Roman"/>
          <w:b/>
          <w:color w:val="595959" w:themeColor="text1" w:themeTint="A6"/>
          <w:kern w:val="28"/>
          <w:sz w:val="22"/>
          <w:szCs w:val="22"/>
          <w:lang w:eastAsia="en-US"/>
        </w:rPr>
        <w:t>8</w:t>
      </w:r>
      <w:r w:rsidRPr="00710C34">
        <w:rPr>
          <w:rFonts w:ascii="Arial Narrow" w:eastAsia="Calibri" w:hAnsi="Arial Narrow" w:cs="Times New Roman"/>
          <w:bCs/>
          <w:color w:val="595959" w:themeColor="text1" w:themeTint="A6"/>
          <w:kern w:val="28"/>
          <w:sz w:val="22"/>
          <w:szCs w:val="22"/>
          <w:lang w:eastAsia="en-US"/>
        </w:rPr>
        <w:t xml:space="preserve">. POPOLAZIONE STRANIERA RESIDENTE PER AREA GEOGRAFICA DI CITTADINANZA E </w:t>
      </w:r>
      <w:r w:rsidR="00F41A58">
        <w:rPr>
          <w:rFonts w:ascii="Arial Narrow" w:eastAsia="Calibri" w:hAnsi="Arial Narrow" w:cs="Times New Roman"/>
          <w:bCs/>
          <w:color w:val="595959" w:themeColor="text1" w:themeTint="A6"/>
          <w:kern w:val="28"/>
          <w:sz w:val="22"/>
          <w:szCs w:val="22"/>
          <w:lang w:eastAsia="en-US"/>
        </w:rPr>
        <w:t>GENERE</w:t>
      </w:r>
      <w:r w:rsidRPr="00710C34">
        <w:rPr>
          <w:rFonts w:ascii="Arial Narrow" w:eastAsia="Calibri" w:hAnsi="Arial Narrow" w:cs="Times New Roman"/>
          <w:bCs/>
          <w:color w:val="595959" w:themeColor="text1" w:themeTint="A6"/>
          <w:kern w:val="28"/>
          <w:sz w:val="22"/>
          <w:szCs w:val="22"/>
          <w:lang w:eastAsia="en-US"/>
        </w:rPr>
        <w:t xml:space="preserve">. </w:t>
      </w:r>
      <w:r w:rsidRPr="00710C34">
        <w:rPr>
          <w:rFonts w:ascii="Arial Narrow" w:hAnsi="Arial Narrow"/>
          <w:bCs/>
          <w:color w:val="595959" w:themeColor="text1" w:themeTint="A6"/>
          <w:kern w:val="28"/>
          <w:sz w:val="20"/>
          <w:szCs w:val="20"/>
        </w:rPr>
        <w:t xml:space="preserve">Anni </w:t>
      </w:r>
      <w:r w:rsidR="00B5664A" w:rsidRPr="00710C34">
        <w:rPr>
          <w:rFonts w:ascii="Arial Narrow" w:hAnsi="Arial Narrow"/>
          <w:bCs/>
          <w:color w:val="595959" w:themeColor="text1" w:themeTint="A6"/>
          <w:kern w:val="28"/>
          <w:sz w:val="20"/>
          <w:szCs w:val="20"/>
        </w:rPr>
        <w:t>201</w:t>
      </w:r>
      <w:r w:rsidR="00B5664A">
        <w:rPr>
          <w:rFonts w:ascii="Arial Narrow" w:hAnsi="Arial Narrow"/>
          <w:bCs/>
          <w:color w:val="595959" w:themeColor="text1" w:themeTint="A6"/>
          <w:kern w:val="28"/>
          <w:sz w:val="20"/>
          <w:szCs w:val="20"/>
        </w:rPr>
        <w:t>8</w:t>
      </w:r>
      <w:r w:rsidRPr="00710C34">
        <w:rPr>
          <w:rFonts w:ascii="Arial Narrow" w:hAnsi="Arial Narrow"/>
          <w:bCs/>
          <w:color w:val="595959" w:themeColor="text1" w:themeTint="A6"/>
          <w:kern w:val="28"/>
          <w:sz w:val="20"/>
          <w:szCs w:val="20"/>
        </w:rPr>
        <w:t>e 2019 (valori assoluti e percentuali)</w:t>
      </w:r>
    </w:p>
    <w:tbl>
      <w:tblPr>
        <w:tblW w:w="5000" w:type="pct"/>
        <w:tblBorders>
          <w:top w:val="single" w:sz="4" w:space="0" w:color="auto"/>
          <w:bottom w:val="single" w:sz="4" w:space="0" w:color="auto"/>
          <w:insideH w:val="single" w:sz="4" w:space="0" w:color="auto"/>
        </w:tblBorders>
        <w:tblCellMar>
          <w:left w:w="70" w:type="dxa"/>
          <w:right w:w="70" w:type="dxa"/>
        </w:tblCellMar>
        <w:tblLook w:val="04A0"/>
      </w:tblPr>
      <w:tblGrid>
        <w:gridCol w:w="2479"/>
        <w:gridCol w:w="1217"/>
        <w:gridCol w:w="1216"/>
        <w:gridCol w:w="1216"/>
        <w:gridCol w:w="1216"/>
        <w:gridCol w:w="1216"/>
        <w:gridCol w:w="1218"/>
      </w:tblGrid>
      <w:tr w:rsidR="009D11F2" w:rsidRPr="009D11F2" w:rsidTr="008D4A9C">
        <w:trPr>
          <w:trHeight w:val="255"/>
        </w:trPr>
        <w:tc>
          <w:tcPr>
            <w:tcW w:w="1267" w:type="pct"/>
            <w:vMerge w:val="restart"/>
            <w:shd w:val="clear" w:color="auto" w:fill="auto"/>
            <w:vAlign w:val="center"/>
            <w:hideMark/>
          </w:tcPr>
          <w:p w:rsidR="009D11F2" w:rsidRPr="00305593" w:rsidRDefault="009D11F2" w:rsidP="008D4A9C">
            <w:pPr>
              <w:spacing w:before="40" w:after="20"/>
              <w:rPr>
                <w:rFonts w:ascii="Arial Narrow" w:hAnsi="Arial Narrow" w:cs="Calibri"/>
                <w:b/>
                <w:bCs/>
                <w:iCs/>
                <w:color w:val="000000"/>
                <w:sz w:val="18"/>
                <w:szCs w:val="18"/>
              </w:rPr>
            </w:pPr>
            <w:r w:rsidRPr="00305593">
              <w:rPr>
                <w:rFonts w:ascii="Arial Narrow" w:hAnsi="Arial Narrow" w:cs="Calibri"/>
                <w:b/>
                <w:bCs/>
                <w:iCs/>
                <w:color w:val="000000"/>
                <w:sz w:val="18"/>
                <w:szCs w:val="18"/>
              </w:rPr>
              <w:t>AREE GEOGRAFICHE DI CITTADINANZA</w:t>
            </w:r>
          </w:p>
        </w:tc>
        <w:tc>
          <w:tcPr>
            <w:tcW w:w="1866" w:type="pct"/>
            <w:gridSpan w:val="3"/>
            <w:shd w:val="clear" w:color="auto" w:fill="D9D9D9"/>
            <w:noWrap/>
            <w:vAlign w:val="center"/>
            <w:hideMark/>
          </w:tcPr>
          <w:p w:rsidR="009D11F2" w:rsidRPr="005B5D9A" w:rsidRDefault="009D11F2" w:rsidP="008D4A9C">
            <w:pPr>
              <w:tabs>
                <w:tab w:val="center" w:pos="1390"/>
              </w:tabs>
              <w:spacing w:before="40" w:after="20"/>
              <w:jc w:val="center"/>
              <w:rPr>
                <w:rFonts w:ascii="Arial Narrow" w:hAnsi="Arial Narrow" w:cs="Calibri"/>
                <w:b/>
                <w:bCs/>
                <w:iCs/>
                <w:color w:val="000000"/>
                <w:sz w:val="18"/>
                <w:szCs w:val="18"/>
              </w:rPr>
            </w:pPr>
            <w:r w:rsidRPr="005B5D9A">
              <w:rPr>
                <w:rFonts w:ascii="Arial Narrow" w:hAnsi="Arial Narrow" w:cs="Calibri"/>
                <w:b/>
                <w:bCs/>
                <w:iCs/>
                <w:color w:val="000000"/>
                <w:sz w:val="18"/>
                <w:szCs w:val="18"/>
              </w:rPr>
              <w:t>2018</w:t>
            </w:r>
          </w:p>
        </w:tc>
        <w:tc>
          <w:tcPr>
            <w:tcW w:w="1867" w:type="pct"/>
            <w:gridSpan w:val="3"/>
            <w:shd w:val="clear" w:color="auto" w:fill="auto"/>
            <w:noWrap/>
            <w:vAlign w:val="center"/>
            <w:hideMark/>
          </w:tcPr>
          <w:p w:rsidR="009D11F2" w:rsidRPr="005B5D9A" w:rsidRDefault="009D11F2" w:rsidP="008D4A9C">
            <w:pPr>
              <w:spacing w:before="40" w:after="20"/>
              <w:jc w:val="center"/>
              <w:rPr>
                <w:rFonts w:ascii="Arial Narrow" w:hAnsi="Arial Narrow" w:cs="Calibri"/>
                <w:b/>
                <w:bCs/>
                <w:iCs/>
                <w:color w:val="000000"/>
                <w:sz w:val="18"/>
                <w:szCs w:val="18"/>
              </w:rPr>
            </w:pPr>
            <w:r w:rsidRPr="005B5D9A">
              <w:rPr>
                <w:rFonts w:ascii="Arial Narrow" w:hAnsi="Arial Narrow" w:cs="Calibri"/>
                <w:b/>
                <w:bCs/>
                <w:iCs/>
                <w:color w:val="000000"/>
                <w:sz w:val="18"/>
                <w:szCs w:val="18"/>
              </w:rPr>
              <w:t>2019</w:t>
            </w:r>
          </w:p>
        </w:tc>
      </w:tr>
      <w:tr w:rsidR="009D11F2" w:rsidRPr="009D11F2" w:rsidTr="008D4A9C">
        <w:trPr>
          <w:trHeight w:val="255"/>
        </w:trPr>
        <w:tc>
          <w:tcPr>
            <w:tcW w:w="1267" w:type="pct"/>
            <w:vMerge/>
            <w:vAlign w:val="center"/>
            <w:hideMark/>
          </w:tcPr>
          <w:p w:rsidR="009D11F2" w:rsidRPr="00305593" w:rsidRDefault="009D11F2" w:rsidP="008D4A9C">
            <w:pPr>
              <w:spacing w:before="40" w:after="20"/>
              <w:rPr>
                <w:rFonts w:ascii="Arial Narrow" w:hAnsi="Arial Narrow" w:cs="Calibri"/>
                <w:b/>
                <w:bCs/>
                <w:iCs/>
                <w:color w:val="000000"/>
                <w:sz w:val="18"/>
                <w:szCs w:val="18"/>
              </w:rPr>
            </w:pPr>
          </w:p>
        </w:tc>
        <w:tc>
          <w:tcPr>
            <w:tcW w:w="622" w:type="pct"/>
            <w:shd w:val="clear" w:color="auto" w:fill="auto"/>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 xml:space="preserve">Totale </w:t>
            </w:r>
          </w:p>
        </w:tc>
        <w:tc>
          <w:tcPr>
            <w:tcW w:w="622" w:type="pct"/>
            <w:shd w:val="clear" w:color="auto" w:fill="auto"/>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 xml:space="preserve">Per 100 </w:t>
            </w:r>
            <w:r w:rsidRPr="00305593">
              <w:rPr>
                <w:rFonts w:ascii="Arial Narrow" w:hAnsi="Arial Narrow" w:cs="Calibri"/>
                <w:iCs/>
                <w:color w:val="000000"/>
                <w:sz w:val="18"/>
                <w:szCs w:val="18"/>
              </w:rPr>
              <w:br/>
              <w:t>stranieri</w:t>
            </w:r>
          </w:p>
        </w:tc>
        <w:tc>
          <w:tcPr>
            <w:tcW w:w="622" w:type="pct"/>
            <w:shd w:val="clear" w:color="auto" w:fill="auto"/>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 donne</w:t>
            </w:r>
          </w:p>
        </w:tc>
        <w:tc>
          <w:tcPr>
            <w:tcW w:w="622" w:type="pct"/>
            <w:shd w:val="clear" w:color="auto" w:fill="auto"/>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 xml:space="preserve">Totale </w:t>
            </w:r>
          </w:p>
        </w:tc>
        <w:tc>
          <w:tcPr>
            <w:tcW w:w="622" w:type="pct"/>
            <w:shd w:val="clear" w:color="auto" w:fill="auto"/>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 xml:space="preserve">Per 100 </w:t>
            </w:r>
            <w:r w:rsidRPr="00305593">
              <w:rPr>
                <w:rFonts w:ascii="Arial Narrow" w:hAnsi="Arial Narrow" w:cs="Calibri"/>
                <w:iCs/>
                <w:color w:val="000000"/>
                <w:sz w:val="18"/>
                <w:szCs w:val="18"/>
              </w:rPr>
              <w:br/>
              <w:t>stranieri</w:t>
            </w:r>
          </w:p>
        </w:tc>
        <w:tc>
          <w:tcPr>
            <w:tcW w:w="623" w:type="pct"/>
            <w:shd w:val="clear" w:color="auto" w:fill="auto"/>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 donne</w:t>
            </w:r>
          </w:p>
        </w:tc>
      </w:tr>
      <w:tr w:rsidR="009D11F2" w:rsidRPr="009D11F2" w:rsidTr="008D4A9C">
        <w:trPr>
          <w:trHeight w:val="255"/>
        </w:trPr>
        <w:tc>
          <w:tcPr>
            <w:tcW w:w="1267" w:type="pct"/>
            <w:shd w:val="clear" w:color="000000" w:fill="FFFFFF"/>
            <w:noWrap/>
            <w:vAlign w:val="center"/>
            <w:hideMark/>
          </w:tcPr>
          <w:p w:rsidR="009D11F2" w:rsidRPr="00305593" w:rsidRDefault="009D11F2" w:rsidP="008D4A9C">
            <w:pPr>
              <w:spacing w:before="40" w:after="20"/>
              <w:rPr>
                <w:rFonts w:ascii="Arial Narrow" w:hAnsi="Arial Narrow" w:cs="Calibri"/>
                <w:b/>
                <w:bCs/>
                <w:iCs/>
                <w:color w:val="000000"/>
                <w:sz w:val="18"/>
                <w:szCs w:val="18"/>
              </w:rPr>
            </w:pPr>
            <w:r w:rsidRPr="00305593">
              <w:rPr>
                <w:rFonts w:ascii="Arial Narrow" w:hAnsi="Arial Narrow" w:cs="Calibri"/>
                <w:b/>
                <w:bCs/>
                <w:iCs/>
                <w:color w:val="000000"/>
                <w:sz w:val="18"/>
                <w:szCs w:val="18"/>
              </w:rPr>
              <w:t>EUROPA</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b/>
                <w:bCs/>
                <w:iCs/>
                <w:color w:val="000000"/>
                <w:sz w:val="18"/>
                <w:szCs w:val="18"/>
              </w:rPr>
            </w:pPr>
            <w:r w:rsidRPr="00305593">
              <w:rPr>
                <w:rFonts w:ascii="Arial Narrow" w:hAnsi="Arial Narrow" w:cs="Calibri"/>
                <w:b/>
                <w:bCs/>
                <w:iCs/>
                <w:color w:val="000000"/>
                <w:sz w:val="18"/>
                <w:szCs w:val="18"/>
              </w:rPr>
              <w:t>13.289</w:t>
            </w:r>
          </w:p>
        </w:tc>
        <w:tc>
          <w:tcPr>
            <w:tcW w:w="622" w:type="pct"/>
            <w:shd w:val="clear" w:color="000000" w:fill="FFFFFF"/>
            <w:noWrap/>
            <w:vAlign w:val="center"/>
            <w:hideMark/>
          </w:tcPr>
          <w:p w:rsidR="009D11F2" w:rsidRPr="00305593" w:rsidRDefault="009D11F2" w:rsidP="008D4A9C">
            <w:pPr>
              <w:spacing w:before="40" w:after="20"/>
              <w:jc w:val="right"/>
              <w:rPr>
                <w:rFonts w:ascii="Arial Narrow" w:hAnsi="Arial Narrow" w:cs="Calibri"/>
                <w:b/>
                <w:bCs/>
                <w:iCs/>
                <w:color w:val="000000"/>
                <w:sz w:val="18"/>
                <w:szCs w:val="18"/>
              </w:rPr>
            </w:pPr>
            <w:r w:rsidRPr="00305593">
              <w:rPr>
                <w:rFonts w:ascii="Arial Narrow" w:hAnsi="Arial Narrow" w:cs="Calibri"/>
                <w:b/>
                <w:bCs/>
                <w:iCs/>
                <w:color w:val="000000"/>
                <w:sz w:val="18"/>
                <w:szCs w:val="18"/>
              </w:rPr>
              <w:t>59,8</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b/>
                <w:bCs/>
                <w:iCs/>
                <w:color w:val="000000"/>
                <w:sz w:val="18"/>
                <w:szCs w:val="18"/>
              </w:rPr>
            </w:pPr>
            <w:r w:rsidRPr="00305593">
              <w:rPr>
                <w:rFonts w:ascii="Arial Narrow" w:hAnsi="Arial Narrow" w:cs="Calibri"/>
                <w:b/>
                <w:bCs/>
                <w:iCs/>
                <w:color w:val="000000"/>
                <w:sz w:val="18"/>
                <w:szCs w:val="18"/>
              </w:rPr>
              <w:t>61,1</w:t>
            </w:r>
          </w:p>
        </w:tc>
        <w:tc>
          <w:tcPr>
            <w:tcW w:w="622" w:type="pct"/>
            <w:shd w:val="clear" w:color="000000" w:fill="FFFFFF"/>
            <w:noWrap/>
            <w:vAlign w:val="center"/>
            <w:hideMark/>
          </w:tcPr>
          <w:p w:rsidR="009D11F2" w:rsidRPr="00305593" w:rsidRDefault="009D11F2" w:rsidP="008D4A9C">
            <w:pPr>
              <w:spacing w:before="40" w:after="20"/>
              <w:jc w:val="right"/>
              <w:rPr>
                <w:rFonts w:ascii="Arial Narrow" w:hAnsi="Arial Narrow" w:cs="Calibri"/>
                <w:b/>
                <w:bCs/>
                <w:iCs/>
                <w:color w:val="000000"/>
                <w:sz w:val="18"/>
                <w:szCs w:val="18"/>
              </w:rPr>
            </w:pPr>
            <w:r w:rsidRPr="00305593">
              <w:rPr>
                <w:rFonts w:ascii="Arial Narrow" w:hAnsi="Arial Narrow" w:cs="Calibri"/>
                <w:b/>
                <w:bCs/>
                <w:iCs/>
                <w:color w:val="000000"/>
                <w:sz w:val="18"/>
                <w:szCs w:val="18"/>
              </w:rPr>
              <w:t>13.348</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b/>
                <w:bCs/>
                <w:iCs/>
                <w:color w:val="000000"/>
                <w:sz w:val="18"/>
                <w:szCs w:val="18"/>
              </w:rPr>
            </w:pPr>
            <w:r w:rsidRPr="00305593">
              <w:rPr>
                <w:rFonts w:ascii="Arial Narrow" w:hAnsi="Arial Narrow" w:cs="Calibri"/>
                <w:b/>
                <w:bCs/>
                <w:iCs/>
                <w:color w:val="000000"/>
                <w:sz w:val="18"/>
                <w:szCs w:val="18"/>
              </w:rPr>
              <w:t>59,1</w:t>
            </w:r>
          </w:p>
        </w:tc>
        <w:tc>
          <w:tcPr>
            <w:tcW w:w="623" w:type="pct"/>
            <w:shd w:val="clear" w:color="000000" w:fill="FFFFFF"/>
            <w:noWrap/>
            <w:vAlign w:val="center"/>
            <w:hideMark/>
          </w:tcPr>
          <w:p w:rsidR="009D11F2" w:rsidRPr="00305593" w:rsidRDefault="009D11F2" w:rsidP="008D4A9C">
            <w:pPr>
              <w:spacing w:before="40" w:after="20"/>
              <w:jc w:val="right"/>
              <w:rPr>
                <w:rFonts w:ascii="Arial Narrow" w:hAnsi="Arial Narrow" w:cs="Calibri"/>
                <w:b/>
                <w:bCs/>
                <w:iCs/>
                <w:color w:val="000000"/>
                <w:sz w:val="18"/>
                <w:szCs w:val="18"/>
              </w:rPr>
            </w:pPr>
            <w:r w:rsidRPr="00305593">
              <w:rPr>
                <w:rFonts w:ascii="Arial Narrow" w:hAnsi="Arial Narrow" w:cs="Calibri"/>
                <w:b/>
                <w:bCs/>
                <w:iCs/>
                <w:color w:val="000000"/>
                <w:sz w:val="18"/>
                <w:szCs w:val="18"/>
              </w:rPr>
              <w:t>60,6</w:t>
            </w:r>
          </w:p>
        </w:tc>
      </w:tr>
      <w:tr w:rsidR="009D11F2" w:rsidRPr="009D11F2" w:rsidTr="008D4A9C">
        <w:trPr>
          <w:trHeight w:val="255"/>
        </w:trPr>
        <w:tc>
          <w:tcPr>
            <w:tcW w:w="1267" w:type="pct"/>
            <w:shd w:val="clear" w:color="000000" w:fill="FFFFFF"/>
            <w:noWrap/>
            <w:vAlign w:val="center"/>
            <w:hideMark/>
          </w:tcPr>
          <w:p w:rsidR="009D11F2" w:rsidRPr="00305593" w:rsidRDefault="009D11F2" w:rsidP="008D4A9C">
            <w:pPr>
              <w:spacing w:before="40" w:after="20"/>
              <w:ind w:firstLineChars="100" w:firstLine="180"/>
              <w:rPr>
                <w:rFonts w:ascii="Arial Narrow" w:hAnsi="Arial Narrow" w:cs="Calibri"/>
                <w:iCs/>
                <w:color w:val="000000"/>
                <w:sz w:val="18"/>
                <w:szCs w:val="18"/>
              </w:rPr>
            </w:pPr>
            <w:r w:rsidRPr="00305593">
              <w:rPr>
                <w:rFonts w:ascii="Arial Narrow" w:hAnsi="Arial Narrow" w:cs="Calibri"/>
                <w:iCs/>
                <w:color w:val="000000"/>
                <w:sz w:val="18"/>
                <w:szCs w:val="18"/>
              </w:rPr>
              <w:t>Unione Europea</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10.333</w:t>
            </w:r>
          </w:p>
        </w:tc>
        <w:tc>
          <w:tcPr>
            <w:tcW w:w="622" w:type="pct"/>
            <w:shd w:val="clear" w:color="000000" w:fill="FFFFFF"/>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46,5</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61,9</w:t>
            </w:r>
          </w:p>
        </w:tc>
        <w:tc>
          <w:tcPr>
            <w:tcW w:w="622" w:type="pct"/>
            <w:shd w:val="clear" w:color="000000" w:fill="FFFFFF"/>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10.219</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45,3</w:t>
            </w:r>
          </w:p>
        </w:tc>
        <w:tc>
          <w:tcPr>
            <w:tcW w:w="623" w:type="pct"/>
            <w:shd w:val="clear" w:color="000000" w:fill="FFFFFF"/>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61,7</w:t>
            </w:r>
          </w:p>
        </w:tc>
      </w:tr>
      <w:tr w:rsidR="009D11F2" w:rsidRPr="009D11F2" w:rsidTr="008D4A9C">
        <w:trPr>
          <w:trHeight w:val="255"/>
        </w:trPr>
        <w:tc>
          <w:tcPr>
            <w:tcW w:w="1267" w:type="pct"/>
            <w:shd w:val="clear" w:color="000000" w:fill="FFFFFF"/>
            <w:noWrap/>
            <w:vAlign w:val="center"/>
            <w:hideMark/>
          </w:tcPr>
          <w:p w:rsidR="009D11F2" w:rsidRPr="00305593" w:rsidRDefault="009D11F2" w:rsidP="008D4A9C">
            <w:pPr>
              <w:spacing w:before="40" w:after="20"/>
              <w:ind w:firstLineChars="100" w:firstLine="180"/>
              <w:rPr>
                <w:rFonts w:ascii="Arial Narrow" w:hAnsi="Arial Narrow" w:cs="Calibri"/>
                <w:iCs/>
                <w:color w:val="000000"/>
                <w:sz w:val="18"/>
                <w:szCs w:val="18"/>
              </w:rPr>
            </w:pPr>
            <w:r w:rsidRPr="00305593">
              <w:rPr>
                <w:rFonts w:ascii="Arial Narrow" w:hAnsi="Arial Narrow" w:cs="Calibri"/>
                <w:iCs/>
                <w:color w:val="000000"/>
                <w:sz w:val="18"/>
                <w:szCs w:val="18"/>
              </w:rPr>
              <w:t>Europa centro</w:t>
            </w:r>
            <w:r w:rsidR="00A603D6">
              <w:rPr>
                <w:rFonts w:ascii="Arial Narrow" w:hAnsi="Arial Narrow" w:cs="Calibri"/>
                <w:iCs/>
                <w:color w:val="000000"/>
                <w:sz w:val="18"/>
                <w:szCs w:val="18"/>
              </w:rPr>
              <w:t>-</w:t>
            </w:r>
            <w:r w:rsidRPr="00305593">
              <w:rPr>
                <w:rFonts w:ascii="Arial Narrow" w:hAnsi="Arial Narrow" w:cs="Calibri"/>
                <w:iCs/>
                <w:color w:val="000000"/>
                <w:sz w:val="18"/>
                <w:szCs w:val="18"/>
              </w:rPr>
              <w:t>orientale</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2.930</w:t>
            </w:r>
          </w:p>
        </w:tc>
        <w:tc>
          <w:tcPr>
            <w:tcW w:w="622" w:type="pct"/>
            <w:shd w:val="clear" w:color="000000" w:fill="FFFFFF"/>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13,2</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58,0</w:t>
            </w:r>
          </w:p>
        </w:tc>
        <w:tc>
          <w:tcPr>
            <w:tcW w:w="622" w:type="pct"/>
            <w:shd w:val="clear" w:color="000000" w:fill="FFFFFF"/>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3.099</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13,7</w:t>
            </w:r>
          </w:p>
        </w:tc>
        <w:tc>
          <w:tcPr>
            <w:tcW w:w="623" w:type="pct"/>
            <w:shd w:val="clear" w:color="000000" w:fill="FFFFFF"/>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57,0</w:t>
            </w:r>
          </w:p>
        </w:tc>
      </w:tr>
      <w:tr w:rsidR="009D11F2" w:rsidRPr="009D11F2" w:rsidTr="008D4A9C">
        <w:trPr>
          <w:trHeight w:val="255"/>
        </w:trPr>
        <w:tc>
          <w:tcPr>
            <w:tcW w:w="1267" w:type="pct"/>
            <w:shd w:val="clear" w:color="000000" w:fill="FFFFFF"/>
            <w:noWrap/>
            <w:vAlign w:val="center"/>
            <w:hideMark/>
          </w:tcPr>
          <w:p w:rsidR="009D11F2" w:rsidRPr="00305593" w:rsidRDefault="009D11F2" w:rsidP="008D4A9C">
            <w:pPr>
              <w:spacing w:before="40" w:after="20"/>
              <w:ind w:firstLineChars="100" w:firstLine="180"/>
              <w:rPr>
                <w:rFonts w:ascii="Arial Narrow" w:hAnsi="Arial Narrow" w:cs="Calibri"/>
                <w:iCs/>
                <w:color w:val="000000"/>
                <w:sz w:val="18"/>
                <w:szCs w:val="18"/>
              </w:rPr>
            </w:pPr>
            <w:r w:rsidRPr="00305593">
              <w:rPr>
                <w:rFonts w:ascii="Arial Narrow" w:hAnsi="Arial Narrow" w:cs="Calibri"/>
                <w:iCs/>
                <w:color w:val="000000"/>
                <w:sz w:val="18"/>
                <w:szCs w:val="18"/>
              </w:rPr>
              <w:t>Altri paesi europei</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26</w:t>
            </w:r>
          </w:p>
        </w:tc>
        <w:tc>
          <w:tcPr>
            <w:tcW w:w="622" w:type="pct"/>
            <w:shd w:val="clear" w:color="000000" w:fill="FFFFFF"/>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0,1</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61,5</w:t>
            </w:r>
          </w:p>
        </w:tc>
        <w:tc>
          <w:tcPr>
            <w:tcW w:w="622" w:type="pct"/>
            <w:shd w:val="clear" w:color="000000" w:fill="FFFFFF"/>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30</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0,1</w:t>
            </w:r>
          </w:p>
        </w:tc>
        <w:tc>
          <w:tcPr>
            <w:tcW w:w="623" w:type="pct"/>
            <w:shd w:val="clear" w:color="000000" w:fill="FFFFFF"/>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66,7</w:t>
            </w:r>
          </w:p>
        </w:tc>
      </w:tr>
      <w:tr w:rsidR="009D11F2" w:rsidRPr="009D11F2" w:rsidTr="008D4A9C">
        <w:trPr>
          <w:trHeight w:val="255"/>
        </w:trPr>
        <w:tc>
          <w:tcPr>
            <w:tcW w:w="1267" w:type="pct"/>
            <w:shd w:val="clear" w:color="000000" w:fill="FFFFFF"/>
            <w:noWrap/>
            <w:vAlign w:val="center"/>
            <w:hideMark/>
          </w:tcPr>
          <w:p w:rsidR="009D11F2" w:rsidRPr="00305593" w:rsidRDefault="009D11F2" w:rsidP="008D4A9C">
            <w:pPr>
              <w:spacing w:before="40" w:after="20"/>
              <w:rPr>
                <w:rFonts w:ascii="Arial Narrow" w:hAnsi="Arial Narrow" w:cs="Calibri"/>
                <w:b/>
                <w:bCs/>
                <w:iCs/>
                <w:color w:val="000000"/>
                <w:sz w:val="18"/>
                <w:szCs w:val="18"/>
              </w:rPr>
            </w:pPr>
            <w:r w:rsidRPr="00305593">
              <w:rPr>
                <w:rFonts w:ascii="Arial Narrow" w:hAnsi="Arial Narrow" w:cs="Calibri"/>
                <w:b/>
                <w:bCs/>
                <w:iCs/>
                <w:color w:val="000000"/>
                <w:sz w:val="18"/>
                <w:szCs w:val="18"/>
              </w:rPr>
              <w:t>AFRICA</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b/>
                <w:bCs/>
                <w:iCs/>
                <w:color w:val="000000"/>
                <w:sz w:val="18"/>
                <w:szCs w:val="18"/>
              </w:rPr>
            </w:pPr>
            <w:r w:rsidRPr="00305593">
              <w:rPr>
                <w:rFonts w:ascii="Arial Narrow" w:hAnsi="Arial Narrow" w:cs="Calibri"/>
                <w:b/>
                <w:bCs/>
                <w:iCs/>
                <w:color w:val="000000"/>
                <w:sz w:val="18"/>
                <w:szCs w:val="18"/>
              </w:rPr>
              <w:t>5.424</w:t>
            </w:r>
          </w:p>
        </w:tc>
        <w:tc>
          <w:tcPr>
            <w:tcW w:w="622" w:type="pct"/>
            <w:shd w:val="clear" w:color="000000" w:fill="FFFFFF"/>
            <w:noWrap/>
            <w:vAlign w:val="center"/>
            <w:hideMark/>
          </w:tcPr>
          <w:p w:rsidR="009D11F2" w:rsidRPr="00305593" w:rsidRDefault="009D11F2" w:rsidP="008D4A9C">
            <w:pPr>
              <w:spacing w:before="40" w:after="20"/>
              <w:jc w:val="right"/>
              <w:rPr>
                <w:rFonts w:ascii="Arial Narrow" w:hAnsi="Arial Narrow" w:cs="Calibri"/>
                <w:b/>
                <w:bCs/>
                <w:iCs/>
                <w:color w:val="000000"/>
                <w:sz w:val="18"/>
                <w:szCs w:val="18"/>
              </w:rPr>
            </w:pPr>
            <w:r w:rsidRPr="00305593">
              <w:rPr>
                <w:rFonts w:ascii="Arial Narrow" w:hAnsi="Arial Narrow" w:cs="Calibri"/>
                <w:b/>
                <w:bCs/>
                <w:iCs/>
                <w:color w:val="000000"/>
                <w:sz w:val="18"/>
                <w:szCs w:val="18"/>
              </w:rPr>
              <w:t>24,4</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b/>
                <w:bCs/>
                <w:iCs/>
                <w:color w:val="000000"/>
                <w:sz w:val="18"/>
                <w:szCs w:val="18"/>
              </w:rPr>
            </w:pPr>
            <w:r w:rsidRPr="00305593">
              <w:rPr>
                <w:rFonts w:ascii="Arial Narrow" w:hAnsi="Arial Narrow" w:cs="Calibri"/>
                <w:b/>
                <w:bCs/>
                <w:iCs/>
                <w:color w:val="000000"/>
                <w:sz w:val="18"/>
                <w:szCs w:val="18"/>
              </w:rPr>
              <w:t>27,7</w:t>
            </w:r>
          </w:p>
        </w:tc>
        <w:tc>
          <w:tcPr>
            <w:tcW w:w="622" w:type="pct"/>
            <w:shd w:val="clear" w:color="000000" w:fill="FFFFFF"/>
            <w:noWrap/>
            <w:vAlign w:val="center"/>
            <w:hideMark/>
          </w:tcPr>
          <w:p w:rsidR="009D11F2" w:rsidRPr="00305593" w:rsidRDefault="009D11F2" w:rsidP="008D4A9C">
            <w:pPr>
              <w:spacing w:before="40" w:after="20"/>
              <w:jc w:val="right"/>
              <w:rPr>
                <w:rFonts w:ascii="Arial Narrow" w:hAnsi="Arial Narrow" w:cs="Calibri"/>
                <w:b/>
                <w:bCs/>
                <w:iCs/>
                <w:color w:val="000000"/>
                <w:sz w:val="18"/>
                <w:szCs w:val="18"/>
              </w:rPr>
            </w:pPr>
            <w:r w:rsidRPr="00305593">
              <w:rPr>
                <w:rFonts w:ascii="Arial Narrow" w:hAnsi="Arial Narrow" w:cs="Calibri"/>
                <w:b/>
                <w:bCs/>
                <w:iCs/>
                <w:color w:val="000000"/>
                <w:sz w:val="18"/>
                <w:szCs w:val="18"/>
              </w:rPr>
              <w:t>5.461</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b/>
                <w:bCs/>
                <w:iCs/>
                <w:color w:val="000000"/>
                <w:sz w:val="18"/>
                <w:szCs w:val="18"/>
              </w:rPr>
            </w:pPr>
            <w:r w:rsidRPr="00305593">
              <w:rPr>
                <w:rFonts w:ascii="Arial Narrow" w:hAnsi="Arial Narrow" w:cs="Calibri"/>
                <w:b/>
                <w:bCs/>
                <w:iCs/>
                <w:color w:val="000000"/>
                <w:sz w:val="18"/>
                <w:szCs w:val="18"/>
              </w:rPr>
              <w:t>24,2</w:t>
            </w:r>
          </w:p>
        </w:tc>
        <w:tc>
          <w:tcPr>
            <w:tcW w:w="623" w:type="pct"/>
            <w:shd w:val="clear" w:color="000000" w:fill="FFFFFF"/>
            <w:noWrap/>
            <w:vAlign w:val="center"/>
            <w:hideMark/>
          </w:tcPr>
          <w:p w:rsidR="009D11F2" w:rsidRPr="00305593" w:rsidRDefault="009D11F2" w:rsidP="008D4A9C">
            <w:pPr>
              <w:spacing w:before="40" w:after="20"/>
              <w:jc w:val="right"/>
              <w:rPr>
                <w:rFonts w:ascii="Arial Narrow" w:hAnsi="Arial Narrow" w:cs="Calibri"/>
                <w:b/>
                <w:bCs/>
                <w:iCs/>
                <w:color w:val="000000"/>
                <w:sz w:val="18"/>
                <w:szCs w:val="18"/>
              </w:rPr>
            </w:pPr>
            <w:r w:rsidRPr="00305593">
              <w:rPr>
                <w:rFonts w:ascii="Arial Narrow" w:hAnsi="Arial Narrow" w:cs="Calibri"/>
                <w:b/>
                <w:bCs/>
                <w:iCs/>
                <w:color w:val="000000"/>
                <w:sz w:val="18"/>
                <w:szCs w:val="18"/>
              </w:rPr>
              <w:t>28,2</w:t>
            </w:r>
          </w:p>
        </w:tc>
      </w:tr>
      <w:tr w:rsidR="009D11F2" w:rsidRPr="009D11F2" w:rsidTr="008D4A9C">
        <w:trPr>
          <w:trHeight w:val="255"/>
        </w:trPr>
        <w:tc>
          <w:tcPr>
            <w:tcW w:w="1267" w:type="pct"/>
            <w:shd w:val="clear" w:color="000000" w:fill="FFFFFF"/>
            <w:noWrap/>
            <w:vAlign w:val="center"/>
            <w:hideMark/>
          </w:tcPr>
          <w:p w:rsidR="009D11F2" w:rsidRPr="00305593" w:rsidRDefault="009D11F2" w:rsidP="008D4A9C">
            <w:pPr>
              <w:spacing w:before="40" w:after="20"/>
              <w:ind w:firstLineChars="100" w:firstLine="180"/>
              <w:rPr>
                <w:rFonts w:ascii="Arial Narrow" w:hAnsi="Arial Narrow" w:cs="Calibri"/>
                <w:iCs/>
                <w:color w:val="000000"/>
                <w:sz w:val="18"/>
                <w:szCs w:val="18"/>
              </w:rPr>
            </w:pPr>
            <w:r w:rsidRPr="00305593">
              <w:rPr>
                <w:rFonts w:ascii="Arial Narrow" w:hAnsi="Arial Narrow" w:cs="Calibri"/>
                <w:iCs/>
                <w:color w:val="000000"/>
                <w:sz w:val="18"/>
                <w:szCs w:val="18"/>
              </w:rPr>
              <w:t>Africa settentrionale</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2.460</w:t>
            </w:r>
          </w:p>
        </w:tc>
        <w:tc>
          <w:tcPr>
            <w:tcW w:w="622" w:type="pct"/>
            <w:shd w:val="clear" w:color="000000" w:fill="FFFFFF"/>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11,1</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40,8</w:t>
            </w:r>
          </w:p>
        </w:tc>
        <w:tc>
          <w:tcPr>
            <w:tcW w:w="622" w:type="pct"/>
            <w:shd w:val="clear" w:color="000000" w:fill="FFFFFF"/>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2.569</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11,4</w:t>
            </w:r>
          </w:p>
        </w:tc>
        <w:tc>
          <w:tcPr>
            <w:tcW w:w="623" w:type="pct"/>
            <w:shd w:val="clear" w:color="000000" w:fill="FFFFFF"/>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40,9</w:t>
            </w:r>
          </w:p>
        </w:tc>
      </w:tr>
      <w:tr w:rsidR="009D11F2" w:rsidRPr="009D11F2" w:rsidTr="008D4A9C">
        <w:trPr>
          <w:trHeight w:val="255"/>
        </w:trPr>
        <w:tc>
          <w:tcPr>
            <w:tcW w:w="1267" w:type="pct"/>
            <w:shd w:val="clear" w:color="000000" w:fill="FFFFFF"/>
            <w:noWrap/>
            <w:vAlign w:val="center"/>
            <w:hideMark/>
          </w:tcPr>
          <w:p w:rsidR="009D11F2" w:rsidRPr="00305593" w:rsidRDefault="009D11F2" w:rsidP="008D4A9C">
            <w:pPr>
              <w:spacing w:before="40" w:after="20"/>
              <w:ind w:firstLineChars="100" w:firstLine="180"/>
              <w:rPr>
                <w:rFonts w:ascii="Arial Narrow" w:hAnsi="Arial Narrow" w:cs="Calibri"/>
                <w:iCs/>
                <w:color w:val="000000"/>
                <w:sz w:val="18"/>
                <w:szCs w:val="18"/>
              </w:rPr>
            </w:pPr>
            <w:r w:rsidRPr="00305593">
              <w:rPr>
                <w:rFonts w:ascii="Arial Narrow" w:hAnsi="Arial Narrow" w:cs="Calibri"/>
                <w:iCs/>
                <w:color w:val="000000"/>
                <w:sz w:val="18"/>
                <w:szCs w:val="18"/>
              </w:rPr>
              <w:t>Africa occidentale</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2.729</w:t>
            </w:r>
          </w:p>
        </w:tc>
        <w:tc>
          <w:tcPr>
            <w:tcW w:w="622" w:type="pct"/>
            <w:shd w:val="clear" w:color="000000" w:fill="FFFFFF"/>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12,3</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13,9</w:t>
            </w:r>
          </w:p>
        </w:tc>
        <w:tc>
          <w:tcPr>
            <w:tcW w:w="622" w:type="pct"/>
            <w:shd w:val="clear" w:color="000000" w:fill="FFFFFF"/>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2.650</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11,7</w:t>
            </w:r>
          </w:p>
        </w:tc>
        <w:tc>
          <w:tcPr>
            <w:tcW w:w="623" w:type="pct"/>
            <w:shd w:val="clear" w:color="000000" w:fill="FFFFFF"/>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14,0</w:t>
            </w:r>
          </w:p>
        </w:tc>
      </w:tr>
      <w:tr w:rsidR="009D11F2" w:rsidRPr="009D11F2" w:rsidTr="008D4A9C">
        <w:trPr>
          <w:trHeight w:val="255"/>
        </w:trPr>
        <w:tc>
          <w:tcPr>
            <w:tcW w:w="1267" w:type="pct"/>
            <w:shd w:val="clear" w:color="000000" w:fill="FFFFFF"/>
            <w:noWrap/>
            <w:vAlign w:val="center"/>
            <w:hideMark/>
          </w:tcPr>
          <w:p w:rsidR="009D11F2" w:rsidRPr="00305593" w:rsidRDefault="009D11F2" w:rsidP="008D4A9C">
            <w:pPr>
              <w:spacing w:before="40" w:after="20"/>
              <w:ind w:firstLineChars="100" w:firstLine="180"/>
              <w:rPr>
                <w:rFonts w:ascii="Arial Narrow" w:hAnsi="Arial Narrow" w:cs="Calibri"/>
                <w:iCs/>
                <w:color w:val="000000"/>
                <w:sz w:val="18"/>
                <w:szCs w:val="18"/>
              </w:rPr>
            </w:pPr>
            <w:r w:rsidRPr="00305593">
              <w:rPr>
                <w:rFonts w:ascii="Arial Narrow" w:hAnsi="Arial Narrow" w:cs="Calibri"/>
                <w:iCs/>
                <w:color w:val="000000"/>
                <w:sz w:val="18"/>
                <w:szCs w:val="18"/>
              </w:rPr>
              <w:t>Africa orientale</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140</w:t>
            </w:r>
          </w:p>
        </w:tc>
        <w:tc>
          <w:tcPr>
            <w:tcW w:w="622" w:type="pct"/>
            <w:shd w:val="clear" w:color="000000" w:fill="FFFFFF"/>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0,6</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53,6</w:t>
            </w:r>
          </w:p>
        </w:tc>
        <w:tc>
          <w:tcPr>
            <w:tcW w:w="622" w:type="pct"/>
            <w:shd w:val="clear" w:color="000000" w:fill="FFFFFF"/>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151</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0,7</w:t>
            </w:r>
          </w:p>
        </w:tc>
        <w:tc>
          <w:tcPr>
            <w:tcW w:w="623" w:type="pct"/>
            <w:shd w:val="clear" w:color="000000" w:fill="FFFFFF"/>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49,7</w:t>
            </w:r>
          </w:p>
        </w:tc>
      </w:tr>
      <w:tr w:rsidR="009D11F2" w:rsidRPr="009D11F2" w:rsidTr="008D4A9C">
        <w:trPr>
          <w:trHeight w:val="255"/>
        </w:trPr>
        <w:tc>
          <w:tcPr>
            <w:tcW w:w="1267" w:type="pct"/>
            <w:shd w:val="clear" w:color="000000" w:fill="FFFFFF"/>
            <w:noWrap/>
            <w:vAlign w:val="center"/>
            <w:hideMark/>
          </w:tcPr>
          <w:p w:rsidR="009D11F2" w:rsidRPr="00305593" w:rsidRDefault="009D11F2" w:rsidP="008D4A9C">
            <w:pPr>
              <w:spacing w:before="40" w:after="20"/>
              <w:ind w:firstLineChars="100" w:firstLine="180"/>
              <w:rPr>
                <w:rFonts w:ascii="Arial Narrow" w:hAnsi="Arial Narrow" w:cs="Calibri"/>
                <w:iCs/>
                <w:color w:val="000000"/>
                <w:sz w:val="18"/>
                <w:szCs w:val="18"/>
              </w:rPr>
            </w:pPr>
            <w:r w:rsidRPr="00305593">
              <w:rPr>
                <w:rFonts w:ascii="Arial Narrow" w:hAnsi="Arial Narrow" w:cs="Calibri"/>
                <w:iCs/>
                <w:color w:val="000000"/>
                <w:sz w:val="18"/>
                <w:szCs w:val="18"/>
              </w:rPr>
              <w:t>Africa centro-meridionale</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95</w:t>
            </w:r>
          </w:p>
        </w:tc>
        <w:tc>
          <w:tcPr>
            <w:tcW w:w="622" w:type="pct"/>
            <w:shd w:val="clear" w:color="000000" w:fill="FFFFFF"/>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0,4</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46,3</w:t>
            </w:r>
          </w:p>
        </w:tc>
        <w:tc>
          <w:tcPr>
            <w:tcW w:w="622" w:type="pct"/>
            <w:shd w:val="clear" w:color="000000" w:fill="FFFFFF"/>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91</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0,4</w:t>
            </w:r>
          </w:p>
        </w:tc>
        <w:tc>
          <w:tcPr>
            <w:tcW w:w="623" w:type="pct"/>
            <w:shd w:val="clear" w:color="000000" w:fill="FFFFFF"/>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49,5</w:t>
            </w:r>
          </w:p>
        </w:tc>
      </w:tr>
      <w:tr w:rsidR="009D11F2" w:rsidRPr="009D11F2" w:rsidTr="008D4A9C">
        <w:trPr>
          <w:trHeight w:val="255"/>
        </w:trPr>
        <w:tc>
          <w:tcPr>
            <w:tcW w:w="1267" w:type="pct"/>
            <w:shd w:val="clear" w:color="000000" w:fill="FFFFFF"/>
            <w:noWrap/>
            <w:vAlign w:val="center"/>
            <w:hideMark/>
          </w:tcPr>
          <w:p w:rsidR="009D11F2" w:rsidRPr="00305593" w:rsidRDefault="009D11F2" w:rsidP="008D4A9C">
            <w:pPr>
              <w:spacing w:before="40" w:after="20"/>
              <w:rPr>
                <w:rFonts w:ascii="Arial Narrow" w:hAnsi="Arial Narrow" w:cs="Calibri"/>
                <w:b/>
                <w:bCs/>
                <w:iCs/>
                <w:color w:val="000000"/>
                <w:sz w:val="18"/>
                <w:szCs w:val="18"/>
              </w:rPr>
            </w:pPr>
            <w:r w:rsidRPr="00305593">
              <w:rPr>
                <w:rFonts w:ascii="Arial Narrow" w:hAnsi="Arial Narrow" w:cs="Calibri"/>
                <w:b/>
                <w:bCs/>
                <w:iCs/>
                <w:color w:val="000000"/>
                <w:sz w:val="18"/>
                <w:szCs w:val="18"/>
              </w:rPr>
              <w:t>ASIA</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b/>
                <w:bCs/>
                <w:iCs/>
                <w:color w:val="000000"/>
                <w:sz w:val="18"/>
                <w:szCs w:val="18"/>
              </w:rPr>
            </w:pPr>
            <w:r w:rsidRPr="00305593">
              <w:rPr>
                <w:rFonts w:ascii="Arial Narrow" w:hAnsi="Arial Narrow" w:cs="Calibri"/>
                <w:b/>
                <w:bCs/>
                <w:iCs/>
                <w:color w:val="000000"/>
                <w:sz w:val="18"/>
                <w:szCs w:val="18"/>
              </w:rPr>
              <w:t>2.824</w:t>
            </w:r>
          </w:p>
        </w:tc>
        <w:tc>
          <w:tcPr>
            <w:tcW w:w="622" w:type="pct"/>
            <w:shd w:val="clear" w:color="000000" w:fill="FFFFFF"/>
            <w:noWrap/>
            <w:vAlign w:val="center"/>
            <w:hideMark/>
          </w:tcPr>
          <w:p w:rsidR="009D11F2" w:rsidRPr="00305593" w:rsidRDefault="009D11F2" w:rsidP="008D4A9C">
            <w:pPr>
              <w:spacing w:before="40" w:after="20"/>
              <w:jc w:val="right"/>
              <w:rPr>
                <w:rFonts w:ascii="Arial Narrow" w:hAnsi="Arial Narrow" w:cs="Calibri"/>
                <w:b/>
                <w:bCs/>
                <w:iCs/>
                <w:color w:val="000000"/>
                <w:sz w:val="18"/>
                <w:szCs w:val="18"/>
              </w:rPr>
            </w:pPr>
            <w:r w:rsidRPr="00305593">
              <w:rPr>
                <w:rFonts w:ascii="Arial Narrow" w:hAnsi="Arial Narrow" w:cs="Calibri"/>
                <w:b/>
                <w:bCs/>
                <w:iCs/>
                <w:color w:val="000000"/>
                <w:sz w:val="18"/>
                <w:szCs w:val="18"/>
              </w:rPr>
              <w:t>12,7</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b/>
                <w:bCs/>
                <w:iCs/>
                <w:color w:val="000000"/>
                <w:sz w:val="18"/>
                <w:szCs w:val="18"/>
              </w:rPr>
            </w:pPr>
            <w:r w:rsidRPr="00305593">
              <w:rPr>
                <w:rFonts w:ascii="Arial Narrow" w:hAnsi="Arial Narrow" w:cs="Calibri"/>
                <w:b/>
                <w:bCs/>
                <w:iCs/>
                <w:color w:val="000000"/>
                <w:sz w:val="18"/>
                <w:szCs w:val="18"/>
              </w:rPr>
              <w:t>34,5</w:t>
            </w:r>
          </w:p>
        </w:tc>
        <w:tc>
          <w:tcPr>
            <w:tcW w:w="622" w:type="pct"/>
            <w:shd w:val="clear" w:color="000000" w:fill="FFFFFF"/>
            <w:noWrap/>
            <w:vAlign w:val="center"/>
            <w:hideMark/>
          </w:tcPr>
          <w:p w:rsidR="009D11F2" w:rsidRPr="00305593" w:rsidRDefault="009D11F2" w:rsidP="008D4A9C">
            <w:pPr>
              <w:spacing w:before="40" w:after="20"/>
              <w:jc w:val="right"/>
              <w:rPr>
                <w:rFonts w:ascii="Arial Narrow" w:hAnsi="Arial Narrow" w:cs="Calibri"/>
                <w:b/>
                <w:bCs/>
                <w:iCs/>
                <w:color w:val="000000"/>
                <w:sz w:val="18"/>
                <w:szCs w:val="18"/>
              </w:rPr>
            </w:pPr>
            <w:r w:rsidRPr="00305593">
              <w:rPr>
                <w:rFonts w:ascii="Arial Narrow" w:hAnsi="Arial Narrow" w:cs="Calibri"/>
                <w:b/>
                <w:bCs/>
                <w:iCs/>
                <w:color w:val="000000"/>
                <w:sz w:val="18"/>
                <w:szCs w:val="18"/>
              </w:rPr>
              <w:t>3.034</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b/>
                <w:bCs/>
                <w:iCs/>
                <w:color w:val="000000"/>
                <w:sz w:val="18"/>
                <w:szCs w:val="18"/>
              </w:rPr>
            </w:pPr>
            <w:r w:rsidRPr="00305593">
              <w:rPr>
                <w:rFonts w:ascii="Arial Narrow" w:hAnsi="Arial Narrow" w:cs="Calibri"/>
                <w:b/>
                <w:bCs/>
                <w:iCs/>
                <w:color w:val="000000"/>
                <w:sz w:val="18"/>
                <w:szCs w:val="18"/>
              </w:rPr>
              <w:t>13,4</w:t>
            </w:r>
          </w:p>
        </w:tc>
        <w:tc>
          <w:tcPr>
            <w:tcW w:w="623" w:type="pct"/>
            <w:shd w:val="clear" w:color="000000" w:fill="FFFFFF"/>
            <w:noWrap/>
            <w:vAlign w:val="center"/>
            <w:hideMark/>
          </w:tcPr>
          <w:p w:rsidR="009D11F2" w:rsidRPr="00305593" w:rsidRDefault="009D11F2" w:rsidP="008D4A9C">
            <w:pPr>
              <w:spacing w:before="40" w:after="20"/>
              <w:jc w:val="right"/>
              <w:rPr>
                <w:rFonts w:ascii="Arial Narrow" w:hAnsi="Arial Narrow" w:cs="Calibri"/>
                <w:b/>
                <w:bCs/>
                <w:iCs/>
                <w:color w:val="000000"/>
                <w:sz w:val="18"/>
                <w:szCs w:val="18"/>
              </w:rPr>
            </w:pPr>
            <w:r w:rsidRPr="00305593">
              <w:rPr>
                <w:rFonts w:ascii="Arial Narrow" w:hAnsi="Arial Narrow" w:cs="Calibri"/>
                <w:b/>
                <w:bCs/>
                <w:iCs/>
                <w:color w:val="000000"/>
                <w:sz w:val="18"/>
                <w:szCs w:val="18"/>
              </w:rPr>
              <w:t>35,7</w:t>
            </w:r>
          </w:p>
        </w:tc>
      </w:tr>
      <w:tr w:rsidR="009D11F2" w:rsidRPr="009D11F2" w:rsidTr="008D4A9C">
        <w:trPr>
          <w:trHeight w:val="255"/>
        </w:trPr>
        <w:tc>
          <w:tcPr>
            <w:tcW w:w="1267" w:type="pct"/>
            <w:shd w:val="clear" w:color="000000" w:fill="FFFFFF"/>
            <w:noWrap/>
            <w:vAlign w:val="center"/>
            <w:hideMark/>
          </w:tcPr>
          <w:p w:rsidR="009D11F2" w:rsidRPr="00305593" w:rsidRDefault="009D11F2" w:rsidP="008D4A9C">
            <w:pPr>
              <w:spacing w:before="40" w:after="20"/>
              <w:ind w:firstLineChars="100" w:firstLine="180"/>
              <w:rPr>
                <w:rFonts w:ascii="Arial Narrow" w:hAnsi="Arial Narrow" w:cs="Calibri"/>
                <w:iCs/>
                <w:color w:val="000000"/>
                <w:sz w:val="18"/>
                <w:szCs w:val="18"/>
              </w:rPr>
            </w:pPr>
            <w:r w:rsidRPr="00305593">
              <w:rPr>
                <w:rFonts w:ascii="Arial Narrow" w:hAnsi="Arial Narrow" w:cs="Calibri"/>
                <w:iCs/>
                <w:color w:val="000000"/>
                <w:sz w:val="18"/>
                <w:szCs w:val="18"/>
              </w:rPr>
              <w:t>Asia occidentale</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220</w:t>
            </w:r>
          </w:p>
        </w:tc>
        <w:tc>
          <w:tcPr>
            <w:tcW w:w="622" w:type="pct"/>
            <w:shd w:val="clear" w:color="000000" w:fill="FFFFFF"/>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1,0</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48,2</w:t>
            </w:r>
          </w:p>
        </w:tc>
        <w:tc>
          <w:tcPr>
            <w:tcW w:w="622" w:type="pct"/>
            <w:shd w:val="clear" w:color="000000" w:fill="FFFFFF"/>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241</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1,1</w:t>
            </w:r>
          </w:p>
        </w:tc>
        <w:tc>
          <w:tcPr>
            <w:tcW w:w="623" w:type="pct"/>
            <w:shd w:val="clear" w:color="000000" w:fill="FFFFFF"/>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51,5</w:t>
            </w:r>
          </w:p>
        </w:tc>
      </w:tr>
      <w:tr w:rsidR="009D11F2" w:rsidRPr="009D11F2" w:rsidTr="008D4A9C">
        <w:trPr>
          <w:trHeight w:val="255"/>
        </w:trPr>
        <w:tc>
          <w:tcPr>
            <w:tcW w:w="1267" w:type="pct"/>
            <w:shd w:val="clear" w:color="000000" w:fill="FFFFFF"/>
            <w:noWrap/>
            <w:vAlign w:val="center"/>
            <w:hideMark/>
          </w:tcPr>
          <w:p w:rsidR="009D11F2" w:rsidRPr="00305593" w:rsidRDefault="009D11F2" w:rsidP="008D4A9C">
            <w:pPr>
              <w:spacing w:before="40" w:after="20"/>
              <w:ind w:firstLineChars="100" w:firstLine="180"/>
              <w:rPr>
                <w:rFonts w:ascii="Arial Narrow" w:hAnsi="Arial Narrow" w:cs="Calibri"/>
                <w:iCs/>
                <w:color w:val="000000"/>
                <w:sz w:val="18"/>
                <w:szCs w:val="18"/>
              </w:rPr>
            </w:pPr>
            <w:r w:rsidRPr="00305593">
              <w:rPr>
                <w:rFonts w:ascii="Arial Narrow" w:hAnsi="Arial Narrow" w:cs="Calibri"/>
                <w:iCs/>
                <w:color w:val="000000"/>
                <w:sz w:val="18"/>
                <w:szCs w:val="18"/>
              </w:rPr>
              <w:t>Asia orientale</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974</w:t>
            </w:r>
          </w:p>
        </w:tc>
        <w:tc>
          <w:tcPr>
            <w:tcW w:w="622" w:type="pct"/>
            <w:shd w:val="clear" w:color="000000" w:fill="FFFFFF"/>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4,4</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51,8</w:t>
            </w:r>
          </w:p>
        </w:tc>
        <w:tc>
          <w:tcPr>
            <w:tcW w:w="622" w:type="pct"/>
            <w:shd w:val="clear" w:color="000000" w:fill="FFFFFF"/>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1.080</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4,8</w:t>
            </w:r>
          </w:p>
        </w:tc>
        <w:tc>
          <w:tcPr>
            <w:tcW w:w="623" w:type="pct"/>
            <w:shd w:val="clear" w:color="000000" w:fill="FFFFFF"/>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52,3</w:t>
            </w:r>
          </w:p>
        </w:tc>
      </w:tr>
      <w:tr w:rsidR="009D11F2" w:rsidRPr="009D11F2" w:rsidTr="008D4A9C">
        <w:trPr>
          <w:trHeight w:val="255"/>
        </w:trPr>
        <w:tc>
          <w:tcPr>
            <w:tcW w:w="1267" w:type="pct"/>
            <w:shd w:val="clear" w:color="000000" w:fill="FFFFFF"/>
            <w:noWrap/>
            <w:vAlign w:val="center"/>
            <w:hideMark/>
          </w:tcPr>
          <w:p w:rsidR="009D11F2" w:rsidRPr="00305593" w:rsidRDefault="009D11F2" w:rsidP="008D4A9C">
            <w:pPr>
              <w:spacing w:before="40" w:after="20"/>
              <w:ind w:firstLineChars="100" w:firstLine="180"/>
              <w:rPr>
                <w:rFonts w:ascii="Arial Narrow" w:hAnsi="Arial Narrow" w:cs="Calibri"/>
                <w:iCs/>
                <w:color w:val="000000"/>
                <w:sz w:val="18"/>
                <w:szCs w:val="18"/>
              </w:rPr>
            </w:pPr>
            <w:r w:rsidRPr="00305593">
              <w:rPr>
                <w:rFonts w:ascii="Arial Narrow" w:hAnsi="Arial Narrow" w:cs="Calibri"/>
                <w:iCs/>
                <w:color w:val="000000"/>
                <w:sz w:val="18"/>
                <w:szCs w:val="18"/>
              </w:rPr>
              <w:t>Asia centro-meridionale</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1.630</w:t>
            </w:r>
          </w:p>
        </w:tc>
        <w:tc>
          <w:tcPr>
            <w:tcW w:w="622" w:type="pct"/>
            <w:shd w:val="clear" w:color="000000" w:fill="FFFFFF"/>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7,3</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22,3</w:t>
            </w:r>
          </w:p>
        </w:tc>
        <w:tc>
          <w:tcPr>
            <w:tcW w:w="622" w:type="pct"/>
            <w:shd w:val="clear" w:color="000000" w:fill="FFFFFF"/>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1.713</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7,6</w:t>
            </w:r>
          </w:p>
        </w:tc>
        <w:tc>
          <w:tcPr>
            <w:tcW w:w="623" w:type="pct"/>
            <w:shd w:val="clear" w:color="000000" w:fill="FFFFFF"/>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23,1</w:t>
            </w:r>
          </w:p>
        </w:tc>
      </w:tr>
      <w:tr w:rsidR="009D11F2" w:rsidRPr="009D11F2" w:rsidTr="008D4A9C">
        <w:trPr>
          <w:trHeight w:val="255"/>
        </w:trPr>
        <w:tc>
          <w:tcPr>
            <w:tcW w:w="1267" w:type="pct"/>
            <w:shd w:val="clear" w:color="000000" w:fill="FFFFFF"/>
            <w:noWrap/>
            <w:vAlign w:val="center"/>
            <w:hideMark/>
          </w:tcPr>
          <w:p w:rsidR="009D11F2" w:rsidRPr="00305593" w:rsidRDefault="009D11F2" w:rsidP="008D4A9C">
            <w:pPr>
              <w:spacing w:before="40" w:after="20"/>
              <w:rPr>
                <w:rFonts w:ascii="Arial Narrow" w:hAnsi="Arial Narrow" w:cs="Calibri"/>
                <w:b/>
                <w:bCs/>
                <w:iCs/>
                <w:color w:val="000000"/>
                <w:sz w:val="18"/>
                <w:szCs w:val="18"/>
              </w:rPr>
            </w:pPr>
            <w:r w:rsidRPr="00305593">
              <w:rPr>
                <w:rFonts w:ascii="Arial Narrow" w:hAnsi="Arial Narrow" w:cs="Calibri"/>
                <w:b/>
                <w:bCs/>
                <w:iCs/>
                <w:color w:val="000000"/>
                <w:sz w:val="18"/>
                <w:szCs w:val="18"/>
              </w:rPr>
              <w:t>AMERICA</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b/>
                <w:bCs/>
                <w:iCs/>
                <w:color w:val="000000"/>
                <w:sz w:val="18"/>
                <w:szCs w:val="18"/>
              </w:rPr>
            </w:pPr>
            <w:r w:rsidRPr="00305593">
              <w:rPr>
                <w:rFonts w:ascii="Arial Narrow" w:hAnsi="Arial Narrow" w:cs="Calibri"/>
                <w:b/>
                <w:bCs/>
                <w:iCs/>
                <w:color w:val="000000"/>
                <w:sz w:val="18"/>
                <w:szCs w:val="18"/>
              </w:rPr>
              <w:t>664</w:t>
            </w:r>
          </w:p>
        </w:tc>
        <w:tc>
          <w:tcPr>
            <w:tcW w:w="622" w:type="pct"/>
            <w:shd w:val="clear" w:color="000000" w:fill="FFFFFF"/>
            <w:noWrap/>
            <w:vAlign w:val="center"/>
            <w:hideMark/>
          </w:tcPr>
          <w:p w:rsidR="009D11F2" w:rsidRPr="00305593" w:rsidRDefault="009D11F2" w:rsidP="008D4A9C">
            <w:pPr>
              <w:spacing w:before="40" w:after="20"/>
              <w:jc w:val="right"/>
              <w:rPr>
                <w:rFonts w:ascii="Arial Narrow" w:hAnsi="Arial Narrow" w:cs="Calibri"/>
                <w:b/>
                <w:bCs/>
                <w:iCs/>
                <w:color w:val="000000"/>
                <w:sz w:val="18"/>
                <w:szCs w:val="18"/>
              </w:rPr>
            </w:pPr>
            <w:r w:rsidRPr="00305593">
              <w:rPr>
                <w:rFonts w:ascii="Arial Narrow" w:hAnsi="Arial Narrow" w:cs="Calibri"/>
                <w:b/>
                <w:bCs/>
                <w:iCs/>
                <w:color w:val="000000"/>
                <w:sz w:val="18"/>
                <w:szCs w:val="18"/>
              </w:rPr>
              <w:t>3,0</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b/>
                <w:bCs/>
                <w:iCs/>
                <w:color w:val="000000"/>
                <w:sz w:val="18"/>
                <w:szCs w:val="18"/>
              </w:rPr>
            </w:pPr>
            <w:r w:rsidRPr="00305593">
              <w:rPr>
                <w:rFonts w:ascii="Arial Narrow" w:hAnsi="Arial Narrow" w:cs="Calibri"/>
                <w:b/>
                <w:bCs/>
                <w:iCs/>
                <w:color w:val="000000"/>
                <w:sz w:val="18"/>
                <w:szCs w:val="18"/>
              </w:rPr>
              <w:t>73,5</w:t>
            </w:r>
          </w:p>
        </w:tc>
        <w:tc>
          <w:tcPr>
            <w:tcW w:w="622" w:type="pct"/>
            <w:shd w:val="clear" w:color="000000" w:fill="FFFFFF"/>
            <w:noWrap/>
            <w:vAlign w:val="center"/>
            <w:hideMark/>
          </w:tcPr>
          <w:p w:rsidR="009D11F2" w:rsidRPr="00305593" w:rsidRDefault="009D11F2" w:rsidP="008D4A9C">
            <w:pPr>
              <w:spacing w:before="40" w:after="20"/>
              <w:jc w:val="right"/>
              <w:rPr>
                <w:rFonts w:ascii="Arial Narrow" w:hAnsi="Arial Narrow" w:cs="Calibri"/>
                <w:b/>
                <w:bCs/>
                <w:iCs/>
                <w:color w:val="000000"/>
                <w:sz w:val="18"/>
                <w:szCs w:val="18"/>
              </w:rPr>
            </w:pPr>
            <w:r w:rsidRPr="00305593">
              <w:rPr>
                <w:rFonts w:ascii="Arial Narrow" w:hAnsi="Arial Narrow" w:cs="Calibri"/>
                <w:b/>
                <w:bCs/>
                <w:iCs/>
                <w:color w:val="000000"/>
                <w:sz w:val="18"/>
                <w:szCs w:val="18"/>
              </w:rPr>
              <w:t>717</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b/>
                <w:bCs/>
                <w:iCs/>
                <w:color w:val="000000"/>
                <w:sz w:val="18"/>
                <w:szCs w:val="18"/>
              </w:rPr>
            </w:pPr>
            <w:r w:rsidRPr="00305593">
              <w:rPr>
                <w:rFonts w:ascii="Arial Narrow" w:hAnsi="Arial Narrow" w:cs="Calibri"/>
                <w:b/>
                <w:bCs/>
                <w:iCs/>
                <w:color w:val="000000"/>
                <w:sz w:val="18"/>
                <w:szCs w:val="18"/>
              </w:rPr>
              <w:t>3,2</w:t>
            </w:r>
          </w:p>
        </w:tc>
        <w:tc>
          <w:tcPr>
            <w:tcW w:w="623" w:type="pct"/>
            <w:shd w:val="clear" w:color="000000" w:fill="FFFFFF"/>
            <w:noWrap/>
            <w:vAlign w:val="center"/>
            <w:hideMark/>
          </w:tcPr>
          <w:p w:rsidR="009D11F2" w:rsidRPr="00305593" w:rsidRDefault="009D11F2" w:rsidP="008D4A9C">
            <w:pPr>
              <w:spacing w:before="40" w:after="20"/>
              <w:jc w:val="right"/>
              <w:rPr>
                <w:rFonts w:ascii="Arial Narrow" w:hAnsi="Arial Narrow" w:cs="Calibri"/>
                <w:b/>
                <w:bCs/>
                <w:iCs/>
                <w:color w:val="000000"/>
                <w:sz w:val="18"/>
                <w:szCs w:val="18"/>
              </w:rPr>
            </w:pPr>
            <w:r w:rsidRPr="00305593">
              <w:rPr>
                <w:rFonts w:ascii="Arial Narrow" w:hAnsi="Arial Narrow" w:cs="Calibri"/>
                <w:b/>
                <w:bCs/>
                <w:iCs/>
                <w:color w:val="000000"/>
                <w:sz w:val="18"/>
                <w:szCs w:val="18"/>
              </w:rPr>
              <w:t>72,9</w:t>
            </w:r>
          </w:p>
        </w:tc>
      </w:tr>
      <w:tr w:rsidR="009D11F2" w:rsidRPr="009D11F2" w:rsidTr="008D4A9C">
        <w:trPr>
          <w:trHeight w:val="255"/>
        </w:trPr>
        <w:tc>
          <w:tcPr>
            <w:tcW w:w="1267" w:type="pct"/>
            <w:shd w:val="clear" w:color="000000" w:fill="FFFFFF"/>
            <w:noWrap/>
            <w:vAlign w:val="center"/>
            <w:hideMark/>
          </w:tcPr>
          <w:p w:rsidR="009D11F2" w:rsidRPr="00305593" w:rsidRDefault="009D11F2" w:rsidP="008D4A9C">
            <w:pPr>
              <w:spacing w:before="40" w:after="20"/>
              <w:ind w:firstLineChars="100" w:firstLine="180"/>
              <w:rPr>
                <w:rFonts w:ascii="Arial Narrow" w:hAnsi="Arial Narrow" w:cs="Calibri"/>
                <w:iCs/>
                <w:color w:val="000000"/>
                <w:sz w:val="18"/>
                <w:szCs w:val="18"/>
              </w:rPr>
            </w:pPr>
            <w:r w:rsidRPr="00305593">
              <w:rPr>
                <w:rFonts w:ascii="Arial Narrow" w:hAnsi="Arial Narrow" w:cs="Calibri"/>
                <w:iCs/>
                <w:color w:val="000000"/>
                <w:sz w:val="18"/>
                <w:szCs w:val="18"/>
              </w:rPr>
              <w:t>America settentrionale</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44</w:t>
            </w:r>
          </w:p>
        </w:tc>
        <w:tc>
          <w:tcPr>
            <w:tcW w:w="622" w:type="pct"/>
            <w:shd w:val="clear" w:color="000000" w:fill="FFFFFF"/>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0,2</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68,2</w:t>
            </w:r>
          </w:p>
        </w:tc>
        <w:tc>
          <w:tcPr>
            <w:tcW w:w="622" w:type="pct"/>
            <w:shd w:val="clear" w:color="000000" w:fill="FFFFFF"/>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55</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0,2</w:t>
            </w:r>
          </w:p>
        </w:tc>
        <w:tc>
          <w:tcPr>
            <w:tcW w:w="623" w:type="pct"/>
            <w:shd w:val="clear" w:color="000000" w:fill="FFFFFF"/>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65,5</w:t>
            </w:r>
          </w:p>
        </w:tc>
      </w:tr>
      <w:tr w:rsidR="009D11F2" w:rsidRPr="009D11F2" w:rsidTr="008D4A9C">
        <w:trPr>
          <w:trHeight w:val="255"/>
        </w:trPr>
        <w:tc>
          <w:tcPr>
            <w:tcW w:w="1267" w:type="pct"/>
            <w:shd w:val="clear" w:color="000000" w:fill="FFFFFF"/>
            <w:noWrap/>
            <w:vAlign w:val="center"/>
            <w:hideMark/>
          </w:tcPr>
          <w:p w:rsidR="009D11F2" w:rsidRPr="00305593" w:rsidRDefault="009D11F2" w:rsidP="008D4A9C">
            <w:pPr>
              <w:spacing w:before="40" w:after="20"/>
              <w:ind w:firstLineChars="100" w:firstLine="180"/>
              <w:rPr>
                <w:rFonts w:ascii="Arial Narrow" w:hAnsi="Arial Narrow" w:cs="Calibri"/>
                <w:iCs/>
                <w:color w:val="000000"/>
                <w:sz w:val="18"/>
                <w:szCs w:val="18"/>
              </w:rPr>
            </w:pPr>
            <w:r w:rsidRPr="00305593">
              <w:rPr>
                <w:rFonts w:ascii="Arial Narrow" w:hAnsi="Arial Narrow" w:cs="Calibri"/>
                <w:iCs/>
                <w:color w:val="000000"/>
                <w:sz w:val="18"/>
                <w:szCs w:val="18"/>
              </w:rPr>
              <w:t>America centro</w:t>
            </w:r>
            <w:r w:rsidR="00A603D6">
              <w:rPr>
                <w:rFonts w:ascii="Arial Narrow" w:hAnsi="Arial Narrow" w:cs="Calibri"/>
                <w:iCs/>
                <w:color w:val="000000"/>
                <w:sz w:val="18"/>
                <w:szCs w:val="18"/>
              </w:rPr>
              <w:t>-</w:t>
            </w:r>
            <w:r w:rsidRPr="00305593">
              <w:rPr>
                <w:rFonts w:ascii="Arial Narrow" w:hAnsi="Arial Narrow" w:cs="Calibri"/>
                <w:iCs/>
                <w:color w:val="000000"/>
                <w:sz w:val="18"/>
                <w:szCs w:val="18"/>
              </w:rPr>
              <w:t>meridionale</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620</w:t>
            </w:r>
          </w:p>
        </w:tc>
        <w:tc>
          <w:tcPr>
            <w:tcW w:w="622" w:type="pct"/>
            <w:shd w:val="clear" w:color="000000" w:fill="FFFFFF"/>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2,8</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73,9</w:t>
            </w:r>
          </w:p>
        </w:tc>
        <w:tc>
          <w:tcPr>
            <w:tcW w:w="622" w:type="pct"/>
            <w:shd w:val="clear" w:color="000000" w:fill="FFFFFF"/>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662</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2,9</w:t>
            </w:r>
          </w:p>
        </w:tc>
        <w:tc>
          <w:tcPr>
            <w:tcW w:w="623" w:type="pct"/>
            <w:shd w:val="clear" w:color="000000" w:fill="FFFFFF"/>
            <w:noWrap/>
            <w:vAlign w:val="center"/>
            <w:hideMark/>
          </w:tcPr>
          <w:p w:rsidR="009D11F2" w:rsidRPr="00305593" w:rsidRDefault="009D11F2" w:rsidP="008D4A9C">
            <w:pPr>
              <w:spacing w:before="40" w:after="20"/>
              <w:jc w:val="right"/>
              <w:rPr>
                <w:rFonts w:ascii="Arial Narrow" w:hAnsi="Arial Narrow" w:cs="Calibri"/>
                <w:iCs/>
                <w:color w:val="000000"/>
                <w:sz w:val="18"/>
                <w:szCs w:val="18"/>
              </w:rPr>
            </w:pPr>
            <w:r w:rsidRPr="00305593">
              <w:rPr>
                <w:rFonts w:ascii="Arial Narrow" w:hAnsi="Arial Narrow" w:cs="Calibri"/>
                <w:iCs/>
                <w:color w:val="000000"/>
                <w:sz w:val="18"/>
                <w:szCs w:val="18"/>
              </w:rPr>
              <w:t>73,6</w:t>
            </w:r>
          </w:p>
        </w:tc>
      </w:tr>
      <w:tr w:rsidR="009D11F2" w:rsidRPr="009D11F2" w:rsidTr="008D4A9C">
        <w:trPr>
          <w:trHeight w:val="255"/>
        </w:trPr>
        <w:tc>
          <w:tcPr>
            <w:tcW w:w="1267" w:type="pct"/>
            <w:shd w:val="clear" w:color="000000" w:fill="FFFFFF"/>
            <w:noWrap/>
            <w:vAlign w:val="center"/>
            <w:hideMark/>
          </w:tcPr>
          <w:p w:rsidR="009D11F2" w:rsidRPr="00305593" w:rsidRDefault="009D11F2" w:rsidP="008D4A9C">
            <w:pPr>
              <w:spacing w:before="40" w:after="20"/>
              <w:rPr>
                <w:rFonts w:ascii="Arial Narrow" w:hAnsi="Arial Narrow" w:cs="Calibri"/>
                <w:b/>
                <w:bCs/>
                <w:iCs/>
                <w:color w:val="000000"/>
                <w:sz w:val="18"/>
                <w:szCs w:val="18"/>
              </w:rPr>
            </w:pPr>
            <w:r w:rsidRPr="00305593">
              <w:rPr>
                <w:rFonts w:ascii="Arial Narrow" w:hAnsi="Arial Narrow" w:cs="Calibri"/>
                <w:b/>
                <w:bCs/>
                <w:iCs/>
                <w:color w:val="000000"/>
                <w:sz w:val="18"/>
                <w:szCs w:val="18"/>
              </w:rPr>
              <w:t>OCEANIA</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b/>
                <w:bCs/>
                <w:iCs/>
                <w:color w:val="000000"/>
                <w:sz w:val="18"/>
                <w:szCs w:val="18"/>
              </w:rPr>
            </w:pPr>
            <w:r w:rsidRPr="00305593">
              <w:rPr>
                <w:rFonts w:ascii="Arial Narrow" w:hAnsi="Arial Narrow" w:cs="Calibri"/>
                <w:b/>
                <w:bCs/>
                <w:iCs/>
                <w:color w:val="000000"/>
                <w:sz w:val="18"/>
                <w:szCs w:val="18"/>
              </w:rPr>
              <w:t>9</w:t>
            </w:r>
          </w:p>
        </w:tc>
        <w:tc>
          <w:tcPr>
            <w:tcW w:w="622" w:type="pct"/>
            <w:shd w:val="clear" w:color="000000" w:fill="FFFFFF"/>
            <w:noWrap/>
            <w:vAlign w:val="center"/>
            <w:hideMark/>
          </w:tcPr>
          <w:p w:rsidR="009D11F2" w:rsidRPr="00305593" w:rsidRDefault="009D11F2" w:rsidP="008D4A9C">
            <w:pPr>
              <w:spacing w:before="40" w:after="20"/>
              <w:jc w:val="right"/>
              <w:rPr>
                <w:rFonts w:ascii="Arial Narrow" w:hAnsi="Arial Narrow" w:cs="Calibri"/>
                <w:b/>
                <w:bCs/>
                <w:iCs/>
                <w:color w:val="000000"/>
                <w:sz w:val="18"/>
                <w:szCs w:val="18"/>
              </w:rPr>
            </w:pPr>
            <w:r w:rsidRPr="00305593">
              <w:rPr>
                <w:rFonts w:ascii="Arial Narrow" w:hAnsi="Arial Narrow" w:cs="Calibri"/>
                <w:b/>
                <w:bCs/>
                <w:iCs/>
                <w:color w:val="000000"/>
                <w:sz w:val="18"/>
                <w:szCs w:val="18"/>
              </w:rPr>
              <w:t>0,0</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b/>
                <w:bCs/>
                <w:iCs/>
                <w:color w:val="000000"/>
                <w:sz w:val="18"/>
                <w:szCs w:val="18"/>
              </w:rPr>
            </w:pPr>
            <w:r w:rsidRPr="00305593">
              <w:rPr>
                <w:rFonts w:ascii="Arial Narrow" w:hAnsi="Arial Narrow" w:cs="Calibri"/>
                <w:b/>
                <w:bCs/>
                <w:iCs/>
                <w:color w:val="000000"/>
                <w:sz w:val="18"/>
                <w:szCs w:val="18"/>
              </w:rPr>
              <w:t>55,6</w:t>
            </w:r>
          </w:p>
        </w:tc>
        <w:tc>
          <w:tcPr>
            <w:tcW w:w="622" w:type="pct"/>
            <w:shd w:val="clear" w:color="000000" w:fill="FFFFFF"/>
            <w:noWrap/>
            <w:vAlign w:val="center"/>
            <w:hideMark/>
          </w:tcPr>
          <w:p w:rsidR="009D11F2" w:rsidRPr="00305593" w:rsidRDefault="009D11F2" w:rsidP="008D4A9C">
            <w:pPr>
              <w:spacing w:before="40" w:after="20"/>
              <w:jc w:val="right"/>
              <w:rPr>
                <w:rFonts w:ascii="Arial Narrow" w:hAnsi="Arial Narrow" w:cs="Calibri"/>
                <w:b/>
                <w:bCs/>
                <w:iCs/>
                <w:color w:val="000000"/>
                <w:sz w:val="18"/>
                <w:szCs w:val="18"/>
              </w:rPr>
            </w:pPr>
            <w:r w:rsidRPr="00305593">
              <w:rPr>
                <w:rFonts w:ascii="Arial Narrow" w:hAnsi="Arial Narrow" w:cs="Calibri"/>
                <w:b/>
                <w:bCs/>
                <w:iCs/>
                <w:color w:val="000000"/>
                <w:sz w:val="18"/>
                <w:szCs w:val="18"/>
              </w:rPr>
              <w:t>9</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b/>
                <w:bCs/>
                <w:iCs/>
                <w:color w:val="000000"/>
                <w:sz w:val="18"/>
                <w:szCs w:val="18"/>
              </w:rPr>
            </w:pPr>
            <w:r w:rsidRPr="00305593">
              <w:rPr>
                <w:rFonts w:ascii="Arial Narrow" w:hAnsi="Arial Narrow" w:cs="Calibri"/>
                <w:b/>
                <w:bCs/>
                <w:iCs/>
                <w:color w:val="000000"/>
                <w:sz w:val="18"/>
                <w:szCs w:val="18"/>
              </w:rPr>
              <w:t>0,0</w:t>
            </w:r>
          </w:p>
        </w:tc>
        <w:tc>
          <w:tcPr>
            <w:tcW w:w="623" w:type="pct"/>
            <w:shd w:val="clear" w:color="000000" w:fill="FFFFFF"/>
            <w:noWrap/>
            <w:vAlign w:val="center"/>
            <w:hideMark/>
          </w:tcPr>
          <w:p w:rsidR="009D11F2" w:rsidRPr="00305593" w:rsidRDefault="009D11F2" w:rsidP="008D4A9C">
            <w:pPr>
              <w:spacing w:before="40" w:after="20"/>
              <w:jc w:val="right"/>
              <w:rPr>
                <w:rFonts w:ascii="Arial Narrow" w:hAnsi="Arial Narrow" w:cs="Calibri"/>
                <w:b/>
                <w:bCs/>
                <w:iCs/>
                <w:color w:val="000000"/>
                <w:sz w:val="18"/>
                <w:szCs w:val="18"/>
              </w:rPr>
            </w:pPr>
            <w:r w:rsidRPr="00305593">
              <w:rPr>
                <w:rFonts w:ascii="Arial Narrow" w:hAnsi="Arial Narrow" w:cs="Calibri"/>
                <w:b/>
                <w:bCs/>
                <w:iCs/>
                <w:color w:val="000000"/>
                <w:sz w:val="18"/>
                <w:szCs w:val="18"/>
              </w:rPr>
              <w:t>55,6</w:t>
            </w:r>
          </w:p>
        </w:tc>
      </w:tr>
      <w:tr w:rsidR="009D11F2" w:rsidRPr="009D11F2" w:rsidTr="008D4A9C">
        <w:trPr>
          <w:trHeight w:val="255"/>
        </w:trPr>
        <w:tc>
          <w:tcPr>
            <w:tcW w:w="1267" w:type="pct"/>
            <w:shd w:val="clear" w:color="000000" w:fill="FFFFFF"/>
            <w:noWrap/>
            <w:vAlign w:val="center"/>
            <w:hideMark/>
          </w:tcPr>
          <w:p w:rsidR="009D11F2" w:rsidRPr="00305593" w:rsidRDefault="009D11F2" w:rsidP="008D4A9C">
            <w:pPr>
              <w:spacing w:before="40" w:after="20"/>
              <w:rPr>
                <w:rFonts w:ascii="Arial Narrow" w:hAnsi="Arial Narrow" w:cs="Calibri"/>
                <w:b/>
                <w:bCs/>
                <w:iCs/>
                <w:color w:val="000000"/>
                <w:sz w:val="18"/>
                <w:szCs w:val="18"/>
              </w:rPr>
            </w:pPr>
            <w:r w:rsidRPr="00305593">
              <w:rPr>
                <w:rFonts w:ascii="Arial Narrow" w:hAnsi="Arial Narrow" w:cs="Calibri"/>
                <w:b/>
                <w:bCs/>
                <w:iCs/>
                <w:color w:val="000000"/>
                <w:sz w:val="18"/>
                <w:szCs w:val="18"/>
              </w:rPr>
              <w:t>APOLIDE</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b/>
                <w:bCs/>
                <w:iCs/>
                <w:color w:val="000000"/>
                <w:sz w:val="18"/>
                <w:szCs w:val="18"/>
              </w:rPr>
            </w:pPr>
            <w:r w:rsidRPr="00305593">
              <w:rPr>
                <w:rFonts w:ascii="Arial Narrow" w:hAnsi="Arial Narrow" w:cs="Calibri"/>
                <w:b/>
                <w:bCs/>
                <w:iCs/>
                <w:color w:val="000000"/>
                <w:sz w:val="18"/>
                <w:szCs w:val="18"/>
              </w:rPr>
              <w:t>..</w:t>
            </w:r>
          </w:p>
        </w:tc>
        <w:tc>
          <w:tcPr>
            <w:tcW w:w="622" w:type="pct"/>
            <w:shd w:val="clear" w:color="000000" w:fill="FFFFFF"/>
            <w:noWrap/>
            <w:vAlign w:val="center"/>
            <w:hideMark/>
          </w:tcPr>
          <w:p w:rsidR="009D11F2" w:rsidRPr="00305593" w:rsidRDefault="009D11F2" w:rsidP="008D4A9C">
            <w:pPr>
              <w:spacing w:before="40" w:after="20"/>
              <w:jc w:val="right"/>
              <w:rPr>
                <w:rFonts w:ascii="Arial Narrow" w:hAnsi="Arial Narrow" w:cs="Calibri"/>
                <w:b/>
                <w:bCs/>
                <w:iCs/>
                <w:color w:val="000000"/>
                <w:sz w:val="18"/>
                <w:szCs w:val="18"/>
              </w:rPr>
            </w:pPr>
            <w:r w:rsidRPr="00305593">
              <w:rPr>
                <w:rFonts w:ascii="Arial Narrow" w:hAnsi="Arial Narrow" w:cs="Calibri"/>
                <w:b/>
                <w:bCs/>
                <w:iCs/>
                <w:color w:val="000000"/>
                <w:sz w:val="18"/>
                <w:szCs w:val="18"/>
              </w:rPr>
              <w:t>..</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b/>
                <w:bCs/>
                <w:iCs/>
                <w:color w:val="000000"/>
                <w:sz w:val="18"/>
                <w:szCs w:val="18"/>
              </w:rPr>
            </w:pPr>
            <w:r w:rsidRPr="00305593">
              <w:rPr>
                <w:rFonts w:ascii="Arial Narrow" w:hAnsi="Arial Narrow" w:cs="Calibri"/>
                <w:b/>
                <w:bCs/>
                <w:iCs/>
                <w:color w:val="000000"/>
                <w:sz w:val="18"/>
                <w:szCs w:val="18"/>
              </w:rPr>
              <w:t>..</w:t>
            </w:r>
          </w:p>
        </w:tc>
        <w:tc>
          <w:tcPr>
            <w:tcW w:w="622" w:type="pct"/>
            <w:shd w:val="clear" w:color="000000" w:fill="FFFFFF"/>
            <w:noWrap/>
            <w:vAlign w:val="center"/>
            <w:hideMark/>
          </w:tcPr>
          <w:p w:rsidR="009D11F2" w:rsidRPr="00305593" w:rsidRDefault="009D11F2" w:rsidP="008D4A9C">
            <w:pPr>
              <w:spacing w:before="40" w:after="20"/>
              <w:jc w:val="right"/>
              <w:rPr>
                <w:rFonts w:ascii="Arial Narrow" w:hAnsi="Arial Narrow" w:cs="Calibri"/>
                <w:b/>
                <w:bCs/>
                <w:iCs/>
                <w:color w:val="000000"/>
                <w:sz w:val="18"/>
                <w:szCs w:val="18"/>
              </w:rPr>
            </w:pPr>
            <w:r w:rsidRPr="00305593">
              <w:rPr>
                <w:rFonts w:ascii="Arial Narrow" w:hAnsi="Arial Narrow" w:cs="Calibri"/>
                <w:b/>
                <w:bCs/>
                <w:iCs/>
                <w:color w:val="000000"/>
                <w:sz w:val="18"/>
                <w:szCs w:val="18"/>
              </w:rPr>
              <w:t>..</w:t>
            </w:r>
          </w:p>
        </w:tc>
        <w:tc>
          <w:tcPr>
            <w:tcW w:w="622" w:type="pct"/>
            <w:shd w:val="clear" w:color="000000" w:fill="D9D9D9"/>
            <w:noWrap/>
            <w:vAlign w:val="center"/>
            <w:hideMark/>
          </w:tcPr>
          <w:p w:rsidR="009D11F2" w:rsidRPr="00305593" w:rsidRDefault="009D11F2" w:rsidP="008D4A9C">
            <w:pPr>
              <w:spacing w:before="40" w:after="20"/>
              <w:jc w:val="right"/>
              <w:rPr>
                <w:rFonts w:ascii="Arial Narrow" w:hAnsi="Arial Narrow" w:cs="Calibri"/>
                <w:b/>
                <w:bCs/>
                <w:iCs/>
                <w:color w:val="000000"/>
                <w:sz w:val="18"/>
                <w:szCs w:val="18"/>
              </w:rPr>
            </w:pPr>
            <w:r w:rsidRPr="00305593">
              <w:rPr>
                <w:rFonts w:ascii="Arial Narrow" w:hAnsi="Arial Narrow" w:cs="Calibri"/>
                <w:b/>
                <w:bCs/>
                <w:iCs/>
                <w:color w:val="000000"/>
                <w:sz w:val="18"/>
                <w:szCs w:val="18"/>
              </w:rPr>
              <w:t>..</w:t>
            </w:r>
          </w:p>
        </w:tc>
        <w:tc>
          <w:tcPr>
            <w:tcW w:w="623" w:type="pct"/>
            <w:shd w:val="clear" w:color="000000" w:fill="FFFFFF"/>
            <w:noWrap/>
            <w:vAlign w:val="center"/>
            <w:hideMark/>
          </w:tcPr>
          <w:p w:rsidR="009D11F2" w:rsidRPr="00305593" w:rsidRDefault="009D11F2" w:rsidP="008D4A9C">
            <w:pPr>
              <w:spacing w:before="40" w:after="20"/>
              <w:jc w:val="right"/>
              <w:rPr>
                <w:rFonts w:ascii="Arial Narrow" w:hAnsi="Arial Narrow" w:cs="Calibri"/>
                <w:b/>
                <w:bCs/>
                <w:iCs/>
                <w:color w:val="000000"/>
                <w:sz w:val="18"/>
                <w:szCs w:val="18"/>
              </w:rPr>
            </w:pPr>
            <w:r w:rsidRPr="00305593">
              <w:rPr>
                <w:rFonts w:ascii="Arial Narrow" w:hAnsi="Arial Narrow" w:cs="Calibri"/>
                <w:b/>
                <w:bCs/>
                <w:iCs/>
                <w:color w:val="000000"/>
                <w:sz w:val="18"/>
                <w:szCs w:val="18"/>
              </w:rPr>
              <w:t>..</w:t>
            </w:r>
          </w:p>
        </w:tc>
      </w:tr>
      <w:tr w:rsidR="009D11F2" w:rsidRPr="009D11F2" w:rsidTr="008D4A9C">
        <w:trPr>
          <w:trHeight w:val="255"/>
        </w:trPr>
        <w:tc>
          <w:tcPr>
            <w:tcW w:w="1267" w:type="pct"/>
            <w:shd w:val="clear" w:color="000000" w:fill="C9321F"/>
            <w:noWrap/>
            <w:vAlign w:val="center"/>
            <w:hideMark/>
          </w:tcPr>
          <w:p w:rsidR="009D11F2" w:rsidRPr="00305593" w:rsidRDefault="009D11F2" w:rsidP="008D4A9C">
            <w:pPr>
              <w:spacing w:before="40" w:after="20"/>
              <w:rPr>
                <w:rFonts w:ascii="Arial Narrow" w:hAnsi="Arial Narrow" w:cs="Calibri"/>
                <w:b/>
                <w:bCs/>
                <w:iCs/>
                <w:color w:val="FFFFFF"/>
                <w:sz w:val="18"/>
                <w:szCs w:val="18"/>
              </w:rPr>
            </w:pPr>
            <w:r w:rsidRPr="00305593">
              <w:rPr>
                <w:rFonts w:ascii="Arial Narrow" w:hAnsi="Arial Narrow" w:cs="Calibri"/>
                <w:b/>
                <w:bCs/>
                <w:iCs/>
                <w:color w:val="FFFFFF"/>
                <w:sz w:val="18"/>
                <w:szCs w:val="18"/>
              </w:rPr>
              <w:t>TOTALE</w:t>
            </w:r>
          </w:p>
        </w:tc>
        <w:tc>
          <w:tcPr>
            <w:tcW w:w="622" w:type="pct"/>
            <w:shd w:val="clear" w:color="000000" w:fill="C9321F"/>
            <w:noWrap/>
            <w:vAlign w:val="center"/>
            <w:hideMark/>
          </w:tcPr>
          <w:p w:rsidR="009D11F2" w:rsidRPr="00305593" w:rsidRDefault="009D11F2" w:rsidP="008D4A9C">
            <w:pPr>
              <w:spacing w:before="40" w:after="20"/>
              <w:jc w:val="right"/>
              <w:rPr>
                <w:rFonts w:ascii="Arial Narrow" w:hAnsi="Arial Narrow" w:cs="Calibri"/>
                <w:b/>
                <w:bCs/>
                <w:iCs/>
                <w:color w:val="FFFFFF"/>
                <w:sz w:val="18"/>
                <w:szCs w:val="18"/>
              </w:rPr>
            </w:pPr>
            <w:r w:rsidRPr="00305593">
              <w:rPr>
                <w:rFonts w:ascii="Arial Narrow" w:hAnsi="Arial Narrow" w:cs="Calibri"/>
                <w:b/>
                <w:bCs/>
                <w:iCs/>
                <w:color w:val="FFFFFF"/>
                <w:sz w:val="18"/>
                <w:szCs w:val="18"/>
              </w:rPr>
              <w:t>22.210</w:t>
            </w:r>
          </w:p>
        </w:tc>
        <w:tc>
          <w:tcPr>
            <w:tcW w:w="622" w:type="pct"/>
            <w:shd w:val="clear" w:color="000000" w:fill="C9321F"/>
            <w:noWrap/>
            <w:vAlign w:val="center"/>
            <w:hideMark/>
          </w:tcPr>
          <w:p w:rsidR="009D11F2" w:rsidRPr="00305593" w:rsidRDefault="009D11F2" w:rsidP="008D4A9C">
            <w:pPr>
              <w:spacing w:before="40" w:after="20"/>
              <w:jc w:val="right"/>
              <w:rPr>
                <w:rFonts w:ascii="Arial Narrow" w:hAnsi="Arial Narrow" w:cs="Calibri"/>
                <w:b/>
                <w:bCs/>
                <w:iCs/>
                <w:color w:val="FFFFFF"/>
                <w:sz w:val="18"/>
                <w:szCs w:val="18"/>
              </w:rPr>
            </w:pPr>
            <w:r w:rsidRPr="00305593">
              <w:rPr>
                <w:rFonts w:ascii="Arial Narrow" w:hAnsi="Arial Narrow" w:cs="Calibri"/>
                <w:b/>
                <w:bCs/>
                <w:iCs/>
                <w:color w:val="FFFFFF"/>
                <w:sz w:val="18"/>
                <w:szCs w:val="18"/>
              </w:rPr>
              <w:t>100,0</w:t>
            </w:r>
          </w:p>
        </w:tc>
        <w:tc>
          <w:tcPr>
            <w:tcW w:w="622" w:type="pct"/>
            <w:shd w:val="clear" w:color="000000" w:fill="C9321F"/>
            <w:noWrap/>
            <w:vAlign w:val="center"/>
            <w:hideMark/>
          </w:tcPr>
          <w:p w:rsidR="009D11F2" w:rsidRPr="00305593" w:rsidRDefault="009D11F2" w:rsidP="008D4A9C">
            <w:pPr>
              <w:spacing w:before="40" w:after="20"/>
              <w:jc w:val="right"/>
              <w:rPr>
                <w:rFonts w:ascii="Arial Narrow" w:hAnsi="Arial Narrow" w:cs="Calibri"/>
                <w:b/>
                <w:bCs/>
                <w:iCs/>
                <w:color w:val="FFFFFF"/>
                <w:sz w:val="18"/>
                <w:szCs w:val="18"/>
              </w:rPr>
            </w:pPr>
            <w:r w:rsidRPr="00305593">
              <w:rPr>
                <w:rFonts w:ascii="Arial Narrow" w:hAnsi="Arial Narrow" w:cs="Calibri"/>
                <w:b/>
                <w:bCs/>
                <w:iCs/>
                <w:color w:val="FFFFFF"/>
                <w:sz w:val="18"/>
                <w:szCs w:val="18"/>
              </w:rPr>
              <w:t>49,9</w:t>
            </w:r>
          </w:p>
        </w:tc>
        <w:tc>
          <w:tcPr>
            <w:tcW w:w="622" w:type="pct"/>
            <w:shd w:val="clear" w:color="000000" w:fill="C9321F"/>
            <w:noWrap/>
            <w:vAlign w:val="center"/>
            <w:hideMark/>
          </w:tcPr>
          <w:p w:rsidR="009D11F2" w:rsidRPr="00305593" w:rsidRDefault="009D11F2" w:rsidP="008D4A9C">
            <w:pPr>
              <w:spacing w:before="40" w:after="20"/>
              <w:jc w:val="right"/>
              <w:rPr>
                <w:rFonts w:ascii="Arial Narrow" w:hAnsi="Arial Narrow" w:cs="Calibri"/>
                <w:b/>
                <w:bCs/>
                <w:iCs/>
                <w:color w:val="FFFFFF"/>
                <w:sz w:val="18"/>
                <w:szCs w:val="18"/>
              </w:rPr>
            </w:pPr>
            <w:r w:rsidRPr="00305593">
              <w:rPr>
                <w:rFonts w:ascii="Arial Narrow" w:hAnsi="Arial Narrow" w:cs="Calibri"/>
                <w:b/>
                <w:bCs/>
                <w:iCs/>
                <w:color w:val="FFFFFF"/>
                <w:sz w:val="18"/>
                <w:szCs w:val="18"/>
              </w:rPr>
              <w:t>22.569</w:t>
            </w:r>
          </w:p>
        </w:tc>
        <w:tc>
          <w:tcPr>
            <w:tcW w:w="622" w:type="pct"/>
            <w:shd w:val="clear" w:color="000000" w:fill="C9321F"/>
            <w:noWrap/>
            <w:vAlign w:val="center"/>
            <w:hideMark/>
          </w:tcPr>
          <w:p w:rsidR="009D11F2" w:rsidRPr="00305593" w:rsidRDefault="009D11F2" w:rsidP="008D4A9C">
            <w:pPr>
              <w:spacing w:before="40" w:after="20"/>
              <w:jc w:val="right"/>
              <w:rPr>
                <w:rFonts w:ascii="Arial Narrow" w:hAnsi="Arial Narrow" w:cs="Calibri"/>
                <w:b/>
                <w:bCs/>
                <w:iCs/>
                <w:color w:val="FFFFFF"/>
                <w:sz w:val="18"/>
                <w:szCs w:val="18"/>
              </w:rPr>
            </w:pPr>
            <w:r w:rsidRPr="00305593">
              <w:rPr>
                <w:rFonts w:ascii="Arial Narrow" w:hAnsi="Arial Narrow" w:cs="Calibri"/>
                <w:b/>
                <w:bCs/>
                <w:iCs/>
                <w:color w:val="FFFFFF"/>
                <w:sz w:val="18"/>
                <w:szCs w:val="18"/>
              </w:rPr>
              <w:t>100,0</w:t>
            </w:r>
          </w:p>
        </w:tc>
        <w:tc>
          <w:tcPr>
            <w:tcW w:w="623" w:type="pct"/>
            <w:shd w:val="clear" w:color="000000" w:fill="C9321F"/>
            <w:noWrap/>
            <w:vAlign w:val="center"/>
            <w:hideMark/>
          </w:tcPr>
          <w:p w:rsidR="009D11F2" w:rsidRPr="00305593" w:rsidRDefault="009D11F2" w:rsidP="008D4A9C">
            <w:pPr>
              <w:spacing w:before="40" w:after="20"/>
              <w:jc w:val="right"/>
              <w:rPr>
                <w:rFonts w:ascii="Arial Narrow" w:hAnsi="Arial Narrow" w:cs="Calibri"/>
                <w:b/>
                <w:bCs/>
                <w:iCs/>
                <w:color w:val="FFFFFF"/>
                <w:sz w:val="18"/>
                <w:szCs w:val="18"/>
              </w:rPr>
            </w:pPr>
            <w:r w:rsidRPr="00305593">
              <w:rPr>
                <w:rFonts w:ascii="Arial Narrow" w:hAnsi="Arial Narrow" w:cs="Calibri"/>
                <w:b/>
                <w:bCs/>
                <w:iCs/>
                <w:color w:val="FFFFFF"/>
                <w:sz w:val="18"/>
                <w:szCs w:val="18"/>
              </w:rPr>
              <w:t>49,8</w:t>
            </w:r>
          </w:p>
        </w:tc>
      </w:tr>
    </w:tbl>
    <w:p w:rsidR="00524D8D" w:rsidRDefault="00524D8D" w:rsidP="00524D8D">
      <w:pPr>
        <w:spacing w:after="120"/>
        <w:jc w:val="both"/>
        <w:rPr>
          <w:rFonts w:ascii="Trebuchet MS" w:hAnsi="Trebuchet MS" w:cs="Arial"/>
          <w:color w:val="5F5F5F"/>
          <w:sz w:val="20"/>
          <w:szCs w:val="20"/>
        </w:rPr>
      </w:pPr>
    </w:p>
    <w:p w:rsidR="00AE3F83" w:rsidRDefault="00A90213" w:rsidP="007E6E7F">
      <w:pPr>
        <w:spacing w:after="120"/>
        <w:jc w:val="both"/>
        <w:rPr>
          <w:rFonts w:ascii="Trebuchet MS" w:hAnsi="Trebuchet MS" w:cs="Arial"/>
          <w:color w:val="5F5F5F"/>
          <w:sz w:val="20"/>
          <w:szCs w:val="20"/>
        </w:rPr>
      </w:pPr>
      <w:r w:rsidRPr="00CE40BF">
        <w:rPr>
          <w:rFonts w:ascii="Trebuchet MS" w:hAnsi="Trebuchet MS" w:cs="Arial"/>
          <w:color w:val="5F5F5F"/>
          <w:sz w:val="20"/>
          <w:szCs w:val="20"/>
        </w:rPr>
        <w:t xml:space="preserve">In </w:t>
      </w:r>
      <w:r w:rsidR="00427B53" w:rsidRPr="00CE40BF">
        <w:rPr>
          <w:rFonts w:ascii="Trebuchet MS" w:hAnsi="Trebuchet MS" w:cs="Arial"/>
          <w:color w:val="5F5F5F"/>
          <w:sz w:val="20"/>
          <w:szCs w:val="20"/>
        </w:rPr>
        <w:t>Basilicata</w:t>
      </w:r>
      <w:r w:rsidRPr="00CE40BF">
        <w:rPr>
          <w:rFonts w:ascii="Trebuchet MS" w:hAnsi="Trebuchet MS" w:cs="Arial"/>
          <w:color w:val="5F5F5F"/>
          <w:sz w:val="20"/>
          <w:szCs w:val="20"/>
        </w:rPr>
        <w:t xml:space="preserve"> le prime 10 nazionalità estere</w:t>
      </w:r>
      <w:r w:rsidR="006371BC" w:rsidRPr="00CE40BF">
        <w:rPr>
          <w:rFonts w:ascii="Trebuchet MS" w:hAnsi="Trebuchet MS" w:cs="Arial"/>
          <w:color w:val="5F5F5F"/>
          <w:sz w:val="20"/>
          <w:szCs w:val="20"/>
        </w:rPr>
        <w:t>,</w:t>
      </w:r>
      <w:r w:rsidRPr="00CE40BF">
        <w:rPr>
          <w:rFonts w:ascii="Trebuchet MS" w:hAnsi="Trebuchet MS" w:cs="Arial"/>
          <w:color w:val="5F5F5F"/>
          <w:sz w:val="20"/>
          <w:szCs w:val="20"/>
        </w:rPr>
        <w:t xml:space="preserve"> in ordine di numerosità</w:t>
      </w:r>
      <w:r w:rsidR="006371BC" w:rsidRPr="00CE40BF">
        <w:rPr>
          <w:rFonts w:ascii="Trebuchet MS" w:hAnsi="Trebuchet MS" w:cs="Arial"/>
          <w:color w:val="5F5F5F"/>
          <w:sz w:val="20"/>
          <w:szCs w:val="20"/>
        </w:rPr>
        <w:t xml:space="preserve">,aggregano </w:t>
      </w:r>
      <w:r w:rsidRPr="00CE40BF">
        <w:rPr>
          <w:rFonts w:ascii="Trebuchet MS" w:hAnsi="Trebuchet MS" w:cs="Arial"/>
          <w:color w:val="5F5F5F"/>
          <w:sz w:val="20"/>
          <w:szCs w:val="20"/>
        </w:rPr>
        <w:t xml:space="preserve">il </w:t>
      </w:r>
      <w:r w:rsidR="00CE40BF" w:rsidRPr="00CE40BF">
        <w:rPr>
          <w:rFonts w:ascii="Trebuchet MS" w:hAnsi="Trebuchet MS" w:cs="Arial"/>
          <w:color w:val="5F5F5F"/>
          <w:sz w:val="20"/>
          <w:szCs w:val="20"/>
        </w:rPr>
        <w:t>78,1</w:t>
      </w:r>
      <w:r w:rsidRPr="00CE40BF">
        <w:rPr>
          <w:rFonts w:ascii="Trebuchet MS" w:hAnsi="Trebuchet MS" w:cs="Arial"/>
          <w:color w:val="5F5F5F"/>
          <w:sz w:val="20"/>
          <w:szCs w:val="20"/>
        </w:rPr>
        <w:t xml:space="preserve">% degli stranieri residenti; in Italia le medesime collettività ne rappresentano il </w:t>
      </w:r>
      <w:r w:rsidR="00CE40BF" w:rsidRPr="00CE40BF">
        <w:rPr>
          <w:rFonts w:ascii="Trebuchet MS" w:hAnsi="Trebuchet MS" w:cs="Arial"/>
          <w:color w:val="5F5F5F"/>
          <w:sz w:val="20"/>
          <w:szCs w:val="20"/>
        </w:rPr>
        <w:t>59,6</w:t>
      </w:r>
      <w:r w:rsidRPr="00CE40BF">
        <w:rPr>
          <w:rFonts w:ascii="Trebuchet MS" w:hAnsi="Trebuchet MS" w:cs="Arial"/>
          <w:color w:val="5F5F5F"/>
          <w:sz w:val="20"/>
          <w:szCs w:val="20"/>
        </w:rPr>
        <w:t xml:space="preserve">%. I cittadini </w:t>
      </w:r>
      <w:r w:rsidR="00CE40BF" w:rsidRPr="00CE40BF">
        <w:rPr>
          <w:rFonts w:ascii="Trebuchet MS" w:hAnsi="Trebuchet MS" w:cs="Arial"/>
          <w:color w:val="5F5F5F"/>
          <w:sz w:val="20"/>
          <w:szCs w:val="20"/>
        </w:rPr>
        <w:t>rumeni</w:t>
      </w:r>
      <w:r w:rsidR="006371BC" w:rsidRPr="00CE40BF">
        <w:rPr>
          <w:rFonts w:ascii="Trebuchet MS" w:hAnsi="Trebuchet MS" w:cs="Arial"/>
          <w:color w:val="5F5F5F"/>
          <w:sz w:val="20"/>
          <w:szCs w:val="20"/>
        </w:rPr>
        <w:t xml:space="preserve">coprono </w:t>
      </w:r>
      <w:r w:rsidRPr="00CE40BF">
        <w:rPr>
          <w:rFonts w:ascii="Trebuchet MS" w:hAnsi="Trebuchet MS" w:cs="Arial"/>
          <w:color w:val="5F5F5F"/>
          <w:sz w:val="20"/>
          <w:szCs w:val="20"/>
        </w:rPr>
        <w:t xml:space="preserve">il </w:t>
      </w:r>
      <w:r w:rsidR="00CE40BF" w:rsidRPr="00CE40BF">
        <w:rPr>
          <w:rFonts w:ascii="Trebuchet MS" w:hAnsi="Trebuchet MS" w:cs="Arial"/>
          <w:color w:val="5F5F5F"/>
          <w:sz w:val="20"/>
          <w:szCs w:val="20"/>
        </w:rPr>
        <w:t>38,1</w:t>
      </w:r>
      <w:r w:rsidRPr="00CE40BF">
        <w:rPr>
          <w:rFonts w:ascii="Trebuchet MS" w:hAnsi="Trebuchet MS" w:cs="Arial"/>
          <w:color w:val="5F5F5F"/>
          <w:sz w:val="20"/>
          <w:szCs w:val="20"/>
        </w:rPr>
        <w:t xml:space="preserve">% del totale degli stranieri residenti e costituiscono la comunità più numerosa. Essi </w:t>
      </w:r>
      <w:r w:rsidR="006371BC" w:rsidRPr="00CE40BF">
        <w:rPr>
          <w:rFonts w:ascii="Trebuchet MS" w:hAnsi="Trebuchet MS" w:cs="Arial"/>
          <w:color w:val="5F5F5F"/>
          <w:sz w:val="20"/>
          <w:szCs w:val="20"/>
        </w:rPr>
        <w:t xml:space="preserve">mostrano </w:t>
      </w:r>
      <w:r w:rsidRPr="00CE40BF">
        <w:rPr>
          <w:rFonts w:ascii="Trebuchet MS" w:hAnsi="Trebuchet MS" w:cs="Arial"/>
          <w:color w:val="5F5F5F"/>
          <w:sz w:val="20"/>
          <w:szCs w:val="20"/>
        </w:rPr>
        <w:t>un’incidenza più accentuata rispetto a quanto si registra nel complesso del Paese (</w:t>
      </w:r>
      <w:r w:rsidR="00CE40BF" w:rsidRPr="00CE40BF">
        <w:rPr>
          <w:rFonts w:ascii="Trebuchet MS" w:hAnsi="Trebuchet MS" w:cs="Arial"/>
          <w:color w:val="5F5F5F"/>
          <w:sz w:val="20"/>
          <w:szCs w:val="20"/>
        </w:rPr>
        <w:t>22,7</w:t>
      </w:r>
      <w:r w:rsidRPr="00CE40BF">
        <w:rPr>
          <w:rFonts w:ascii="Trebuchet MS" w:hAnsi="Trebuchet MS" w:cs="Arial"/>
          <w:color w:val="5F5F5F"/>
          <w:sz w:val="20"/>
          <w:szCs w:val="20"/>
        </w:rPr>
        <w:t>%). S</w:t>
      </w:r>
      <w:r w:rsidR="00F41A58" w:rsidRPr="00CE40BF">
        <w:rPr>
          <w:rFonts w:ascii="Trebuchet MS" w:hAnsi="Trebuchet MS" w:cs="Arial"/>
          <w:color w:val="5F5F5F"/>
          <w:sz w:val="20"/>
          <w:szCs w:val="20"/>
        </w:rPr>
        <w:t>eguono i cittadini</w:t>
      </w:r>
      <w:r w:rsidR="00CE40BF" w:rsidRPr="00CE40BF">
        <w:rPr>
          <w:rFonts w:ascii="Trebuchet MS" w:hAnsi="Trebuchet MS" w:cs="Arial"/>
          <w:color w:val="5F5F5F"/>
          <w:sz w:val="20"/>
          <w:szCs w:val="20"/>
        </w:rPr>
        <w:t>albanes</w:t>
      </w:r>
      <w:r w:rsidRPr="00CE40BF">
        <w:rPr>
          <w:rFonts w:ascii="Trebuchet MS" w:hAnsi="Trebuchet MS" w:cs="Arial"/>
          <w:color w:val="5F5F5F"/>
          <w:sz w:val="20"/>
          <w:szCs w:val="20"/>
        </w:rPr>
        <w:t xml:space="preserve">i, che rappresentano il </w:t>
      </w:r>
      <w:r w:rsidR="00CE40BF" w:rsidRPr="00CE40BF">
        <w:rPr>
          <w:rFonts w:ascii="Trebuchet MS" w:hAnsi="Trebuchet MS" w:cs="Arial"/>
          <w:color w:val="5F5F5F"/>
          <w:sz w:val="20"/>
          <w:szCs w:val="20"/>
        </w:rPr>
        <w:t>9</w:t>
      </w:r>
      <w:r w:rsidRPr="00CE40BF">
        <w:rPr>
          <w:rFonts w:ascii="Trebuchet MS" w:hAnsi="Trebuchet MS" w:cs="Arial"/>
          <w:color w:val="5F5F5F"/>
          <w:sz w:val="20"/>
          <w:szCs w:val="20"/>
        </w:rPr>
        <w:t>,1% del totale (l</w:t>
      </w:r>
      <w:r w:rsidR="00CE40BF" w:rsidRPr="00CE40BF">
        <w:rPr>
          <w:rFonts w:ascii="Trebuchet MS" w:hAnsi="Trebuchet MS" w:cs="Arial"/>
          <w:color w:val="5F5F5F"/>
          <w:sz w:val="20"/>
          <w:szCs w:val="20"/>
        </w:rPr>
        <w:t>’8,4</w:t>
      </w:r>
      <w:r w:rsidRPr="00CE40BF">
        <w:rPr>
          <w:rFonts w:ascii="Trebuchet MS" w:hAnsi="Trebuchet MS" w:cs="Arial"/>
          <w:color w:val="5F5F5F"/>
          <w:sz w:val="20"/>
          <w:szCs w:val="20"/>
        </w:rPr>
        <w:t xml:space="preserve">% in Italia). Il peso degli altri paesi, a partire dal Marocco </w:t>
      </w:r>
      <w:r w:rsidRPr="00CE40BF">
        <w:rPr>
          <w:rFonts w:ascii="Trebuchet MS" w:hAnsi="Trebuchet MS" w:cs="Arial"/>
          <w:color w:val="5F5F5F"/>
          <w:sz w:val="20"/>
          <w:szCs w:val="20"/>
        </w:rPr>
        <w:lastRenderedPageBreak/>
        <w:t>(</w:t>
      </w:r>
      <w:r w:rsidR="00CE40BF" w:rsidRPr="00CE40BF">
        <w:rPr>
          <w:rFonts w:ascii="Trebuchet MS" w:hAnsi="Trebuchet MS" w:cs="Arial"/>
          <w:color w:val="5F5F5F"/>
          <w:sz w:val="20"/>
          <w:szCs w:val="20"/>
        </w:rPr>
        <w:t>7</w:t>
      </w:r>
      <w:r w:rsidRPr="00CE40BF">
        <w:rPr>
          <w:rFonts w:ascii="Trebuchet MS" w:hAnsi="Trebuchet MS" w:cs="Arial"/>
          <w:color w:val="5F5F5F"/>
          <w:sz w:val="20"/>
          <w:szCs w:val="20"/>
        </w:rPr>
        <w:t>,8%), è decisamente inferiore. Le comunità asiatiche più numerose sono quell</w:t>
      </w:r>
      <w:r w:rsidR="00CE40BF" w:rsidRPr="00CE40BF">
        <w:rPr>
          <w:rFonts w:ascii="Trebuchet MS" w:hAnsi="Trebuchet MS" w:cs="Arial"/>
          <w:color w:val="5F5F5F"/>
          <w:sz w:val="20"/>
          <w:szCs w:val="20"/>
        </w:rPr>
        <w:t>aindiana</w:t>
      </w:r>
      <w:r w:rsidRPr="00CE40BF">
        <w:rPr>
          <w:rFonts w:ascii="Trebuchet MS" w:hAnsi="Trebuchet MS" w:cs="Arial"/>
          <w:color w:val="5F5F5F"/>
          <w:sz w:val="20"/>
          <w:szCs w:val="20"/>
        </w:rPr>
        <w:t xml:space="preserve"> (</w:t>
      </w:r>
      <w:r w:rsidR="00CE40BF" w:rsidRPr="00CE40BF">
        <w:rPr>
          <w:rFonts w:ascii="Trebuchet MS" w:hAnsi="Trebuchet MS" w:cs="Arial"/>
          <w:color w:val="5F5F5F"/>
          <w:sz w:val="20"/>
          <w:szCs w:val="20"/>
        </w:rPr>
        <w:t>4,3</w:t>
      </w:r>
      <w:r w:rsidRPr="00CE40BF">
        <w:rPr>
          <w:rFonts w:ascii="Trebuchet MS" w:hAnsi="Trebuchet MS" w:cs="Arial"/>
          <w:color w:val="5F5F5F"/>
          <w:sz w:val="20"/>
          <w:szCs w:val="20"/>
        </w:rPr>
        <w:t xml:space="preserve">%) e </w:t>
      </w:r>
      <w:r w:rsidR="00CE40BF" w:rsidRPr="00CE40BF">
        <w:rPr>
          <w:rFonts w:ascii="Trebuchet MS" w:hAnsi="Trebuchet MS" w:cs="Arial"/>
          <w:color w:val="5F5F5F"/>
          <w:sz w:val="20"/>
          <w:szCs w:val="20"/>
        </w:rPr>
        <w:t>qu</w:t>
      </w:r>
      <w:r w:rsidRPr="00CE40BF">
        <w:rPr>
          <w:rFonts w:ascii="Trebuchet MS" w:hAnsi="Trebuchet MS" w:cs="Arial"/>
          <w:color w:val="5F5F5F"/>
          <w:sz w:val="20"/>
          <w:szCs w:val="20"/>
        </w:rPr>
        <w:t xml:space="preserve">ella </w:t>
      </w:r>
      <w:r w:rsidR="00CE40BF" w:rsidRPr="00CE40BF">
        <w:rPr>
          <w:rFonts w:ascii="Trebuchet MS" w:hAnsi="Trebuchet MS" w:cs="Arial"/>
          <w:color w:val="5F5F5F"/>
          <w:sz w:val="20"/>
          <w:szCs w:val="20"/>
        </w:rPr>
        <w:t>cinese</w:t>
      </w:r>
      <w:r w:rsidRPr="00CE40BF">
        <w:rPr>
          <w:rFonts w:ascii="Trebuchet MS" w:hAnsi="Trebuchet MS" w:cs="Arial"/>
          <w:color w:val="5F5F5F"/>
          <w:sz w:val="20"/>
          <w:szCs w:val="20"/>
        </w:rPr>
        <w:t xml:space="preserve"> (4,</w:t>
      </w:r>
      <w:r w:rsidR="00CE40BF" w:rsidRPr="00CE40BF">
        <w:rPr>
          <w:rFonts w:ascii="Trebuchet MS" w:hAnsi="Trebuchet MS" w:cs="Arial"/>
          <w:color w:val="5F5F5F"/>
          <w:sz w:val="20"/>
          <w:szCs w:val="20"/>
        </w:rPr>
        <w:t>2</w:t>
      </w:r>
      <w:r w:rsidRPr="00CE40BF">
        <w:rPr>
          <w:rFonts w:ascii="Trebuchet MS" w:hAnsi="Trebuchet MS" w:cs="Arial"/>
          <w:color w:val="5F5F5F"/>
          <w:sz w:val="20"/>
          <w:szCs w:val="20"/>
        </w:rPr>
        <w:t>%).</w:t>
      </w:r>
    </w:p>
    <w:p w:rsidR="00CA07B5" w:rsidRDefault="00CA07B5" w:rsidP="00E072ED">
      <w:pPr>
        <w:spacing w:before="240" w:after="60"/>
        <w:jc w:val="both"/>
        <w:rPr>
          <w:rFonts w:ascii="Arial Narrow" w:hAnsi="Arial Narrow"/>
          <w:color w:val="595959" w:themeColor="text1" w:themeTint="A6"/>
          <w:sz w:val="20"/>
          <w:szCs w:val="20"/>
        </w:rPr>
      </w:pPr>
      <w:r w:rsidRPr="00710C34">
        <w:rPr>
          <w:rFonts w:ascii="Arial Narrow" w:hAnsi="Arial Narrow"/>
          <w:b/>
          <w:bCs/>
          <w:color w:val="595959" w:themeColor="text1" w:themeTint="A6"/>
          <w:sz w:val="22"/>
          <w:szCs w:val="22"/>
        </w:rPr>
        <w:t xml:space="preserve">FIGURA </w:t>
      </w:r>
      <w:r w:rsidR="00A7043C" w:rsidRPr="00710C34">
        <w:rPr>
          <w:rFonts w:ascii="Arial Narrow" w:hAnsi="Arial Narrow"/>
          <w:b/>
          <w:bCs/>
          <w:color w:val="595959" w:themeColor="text1" w:themeTint="A6"/>
          <w:sz w:val="22"/>
          <w:szCs w:val="22"/>
        </w:rPr>
        <w:t>7</w:t>
      </w:r>
      <w:r w:rsidRPr="00710C34">
        <w:rPr>
          <w:rFonts w:ascii="Arial Narrow" w:hAnsi="Arial Narrow"/>
          <w:b/>
          <w:bCs/>
          <w:color w:val="595959" w:themeColor="text1" w:themeTint="A6"/>
          <w:sz w:val="22"/>
          <w:szCs w:val="22"/>
        </w:rPr>
        <w:t>.</w:t>
      </w:r>
      <w:r w:rsidRPr="00710C34">
        <w:rPr>
          <w:rFonts w:ascii="Arial Narrow" w:hAnsi="Arial Narrow"/>
          <w:color w:val="595959" w:themeColor="text1" w:themeTint="A6"/>
          <w:sz w:val="22"/>
          <w:szCs w:val="22"/>
        </w:rPr>
        <w:t xml:space="preserve">POPOLAZIONE STRANIERA RESIDENTE PER CONTINENTE E PROVINCIA, </w:t>
      </w:r>
      <w:r w:rsidR="009D11F2">
        <w:rPr>
          <w:rFonts w:ascii="Arial Narrow" w:hAnsi="Arial Narrow"/>
          <w:color w:val="595959" w:themeColor="text1" w:themeTint="A6"/>
          <w:sz w:val="22"/>
          <w:szCs w:val="22"/>
        </w:rPr>
        <w:t>BASILICATA</w:t>
      </w:r>
      <w:r w:rsidRPr="00710C34">
        <w:rPr>
          <w:rFonts w:ascii="Arial Narrow" w:hAnsi="Arial Narrow"/>
          <w:color w:val="595959" w:themeColor="text1" w:themeTint="A6"/>
          <w:sz w:val="22"/>
          <w:szCs w:val="22"/>
        </w:rPr>
        <w:t xml:space="preserve">e ITALIA. </w:t>
      </w:r>
      <w:r w:rsidRPr="005B5D9A">
        <w:rPr>
          <w:rFonts w:ascii="Arial Narrow" w:hAnsi="Arial Narrow"/>
          <w:color w:val="595959" w:themeColor="text1" w:themeTint="A6"/>
          <w:sz w:val="20"/>
          <w:szCs w:val="20"/>
        </w:rPr>
        <w:t xml:space="preserve">Anno 2019 </w:t>
      </w:r>
    </w:p>
    <w:p w:rsidR="00A603D6" w:rsidRPr="00710C34" w:rsidRDefault="00A603D6" w:rsidP="00A603D6">
      <w:pPr>
        <w:spacing w:after="60"/>
        <w:jc w:val="both"/>
        <w:rPr>
          <w:rFonts w:ascii="Arial Narrow" w:hAnsi="Arial Narrow" w:cs="Calibri"/>
          <w:b/>
          <w:bCs/>
          <w:color w:val="595959" w:themeColor="text1" w:themeTint="A6"/>
          <w:sz w:val="20"/>
          <w:szCs w:val="20"/>
        </w:rPr>
      </w:pPr>
      <w:r>
        <w:rPr>
          <w:noProof/>
        </w:rPr>
        <w:drawing>
          <wp:inline distT="0" distB="0" distL="0" distR="0">
            <wp:extent cx="6120000" cy="2160000"/>
            <wp:effectExtent l="0" t="0" r="14605" b="12065"/>
            <wp:docPr id="10" name="Grafico 1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E3F83" w:rsidRDefault="00AE3F83" w:rsidP="005B5D9A">
      <w:pPr>
        <w:spacing w:before="360"/>
        <w:jc w:val="both"/>
        <w:rPr>
          <w:rFonts w:ascii="Trebuchet MS" w:hAnsi="Trebuchet MS" w:cs="Arial"/>
          <w:color w:val="5F5F5F"/>
          <w:sz w:val="22"/>
          <w:szCs w:val="22"/>
        </w:rPr>
      </w:pPr>
    </w:p>
    <w:p w:rsidR="00CA07B5" w:rsidRDefault="00CA07B5" w:rsidP="00E072ED">
      <w:pPr>
        <w:keepNext/>
        <w:spacing w:after="60"/>
        <w:jc w:val="both"/>
        <w:rPr>
          <w:rFonts w:ascii="Arial Narrow" w:hAnsi="Arial Narrow"/>
          <w:color w:val="595959" w:themeColor="text1" w:themeTint="A6"/>
          <w:sz w:val="20"/>
          <w:szCs w:val="20"/>
        </w:rPr>
      </w:pPr>
      <w:r w:rsidRPr="00710C34">
        <w:rPr>
          <w:rFonts w:ascii="Arial Narrow" w:hAnsi="Arial Narrow"/>
          <w:b/>
          <w:bCs/>
          <w:color w:val="595959" w:themeColor="text1" w:themeTint="A6"/>
          <w:sz w:val="22"/>
          <w:szCs w:val="22"/>
        </w:rPr>
        <w:t xml:space="preserve">FIGURA </w:t>
      </w:r>
      <w:r w:rsidR="00062A2F" w:rsidRPr="00710C34">
        <w:rPr>
          <w:rFonts w:ascii="Arial Narrow" w:hAnsi="Arial Narrow"/>
          <w:b/>
          <w:bCs/>
          <w:color w:val="595959" w:themeColor="text1" w:themeTint="A6"/>
          <w:sz w:val="22"/>
          <w:szCs w:val="22"/>
        </w:rPr>
        <w:t>8</w:t>
      </w:r>
      <w:r w:rsidRPr="00710C34">
        <w:rPr>
          <w:rFonts w:ascii="Arial Narrow" w:hAnsi="Arial Narrow"/>
          <w:b/>
          <w:bCs/>
          <w:color w:val="595959" w:themeColor="text1" w:themeTint="A6"/>
          <w:sz w:val="22"/>
          <w:szCs w:val="22"/>
        </w:rPr>
        <w:t>.</w:t>
      </w:r>
      <w:r w:rsidRPr="00710C34">
        <w:rPr>
          <w:rFonts w:ascii="Arial Narrow" w:hAnsi="Arial Narrow"/>
          <w:color w:val="595959" w:themeColor="text1" w:themeTint="A6"/>
          <w:sz w:val="22"/>
          <w:szCs w:val="22"/>
        </w:rPr>
        <w:t xml:space="preserve">POPOLAZIONE STRANIERA PER CITTADINANZA, </w:t>
      </w:r>
      <w:r w:rsidR="00EF5560">
        <w:rPr>
          <w:rFonts w:ascii="Arial Narrow" w:hAnsi="Arial Narrow"/>
          <w:color w:val="595959" w:themeColor="text1" w:themeTint="A6"/>
          <w:sz w:val="22"/>
          <w:szCs w:val="22"/>
        </w:rPr>
        <w:t>BASILICATA</w:t>
      </w:r>
      <w:r w:rsidRPr="00710C34">
        <w:rPr>
          <w:rFonts w:ascii="Arial Narrow" w:hAnsi="Arial Narrow"/>
          <w:color w:val="595959" w:themeColor="text1" w:themeTint="A6"/>
          <w:sz w:val="22"/>
          <w:szCs w:val="22"/>
        </w:rPr>
        <w:t>e ITALIA</w:t>
      </w:r>
      <w:r w:rsidRPr="00710C34">
        <w:rPr>
          <w:rFonts w:ascii="Arial Narrow" w:hAnsi="Arial Narrow" w:cs="Calibri"/>
          <w:color w:val="595959" w:themeColor="text1" w:themeTint="A6"/>
          <w:sz w:val="22"/>
          <w:szCs w:val="22"/>
        </w:rPr>
        <w:t>.</w:t>
      </w:r>
      <w:r w:rsidRPr="00AD3457">
        <w:rPr>
          <w:rFonts w:ascii="Arial Narrow" w:hAnsi="Arial Narrow"/>
          <w:color w:val="595959" w:themeColor="text1" w:themeTint="A6"/>
          <w:sz w:val="20"/>
          <w:szCs w:val="20"/>
        </w:rPr>
        <w:t>Anno 2019 (composizione percentuale per le prime dieci cittadinanze)</w:t>
      </w:r>
    </w:p>
    <w:p w:rsidR="00935B9F" w:rsidRDefault="00935B9F" w:rsidP="00E072ED">
      <w:pPr>
        <w:keepNext/>
        <w:spacing w:after="60"/>
        <w:jc w:val="both"/>
        <w:rPr>
          <w:rFonts w:ascii="Arial Narrow" w:hAnsi="Arial Narrow"/>
          <w:color w:val="595959" w:themeColor="text1" w:themeTint="A6"/>
          <w:sz w:val="20"/>
          <w:szCs w:val="20"/>
        </w:rPr>
      </w:pPr>
      <w:r>
        <w:rPr>
          <w:noProof/>
        </w:rPr>
        <w:drawing>
          <wp:inline distT="0" distB="0" distL="0" distR="0">
            <wp:extent cx="6120130" cy="2143125"/>
            <wp:effectExtent l="0" t="0" r="13970" b="9525"/>
            <wp:docPr id="13" name="Grafico 1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90213" w:rsidRDefault="00A90213" w:rsidP="00935B9F">
      <w:pPr>
        <w:keepNext/>
        <w:spacing w:before="360" w:after="60"/>
        <w:jc w:val="both"/>
        <w:rPr>
          <w:rFonts w:ascii="Trebuchet MS" w:hAnsi="Trebuchet MS" w:cs="Arial"/>
          <w:color w:val="5F5F5F"/>
          <w:sz w:val="20"/>
          <w:szCs w:val="20"/>
        </w:rPr>
      </w:pPr>
      <w:r w:rsidRPr="00995A7E">
        <w:rPr>
          <w:rFonts w:ascii="Trebuchet MS" w:hAnsi="Trebuchet MS" w:cs="Arial"/>
          <w:color w:val="5F5F5F"/>
          <w:sz w:val="20"/>
          <w:szCs w:val="20"/>
        </w:rPr>
        <w:t xml:space="preserve">La mappa per comune dei cittadini dei vari continenti </w:t>
      </w:r>
      <w:r w:rsidR="00C868A9" w:rsidRPr="00995A7E">
        <w:rPr>
          <w:rFonts w:ascii="Trebuchet MS" w:hAnsi="Trebuchet MS" w:cs="Arial"/>
          <w:color w:val="5F5F5F"/>
          <w:sz w:val="20"/>
          <w:szCs w:val="20"/>
        </w:rPr>
        <w:t xml:space="preserve">indica </w:t>
      </w:r>
      <w:r w:rsidRPr="00995A7E">
        <w:rPr>
          <w:rFonts w:ascii="Trebuchet MS" w:hAnsi="Trebuchet MS" w:cs="Arial"/>
          <w:color w:val="5F5F5F"/>
          <w:sz w:val="20"/>
          <w:szCs w:val="20"/>
        </w:rPr>
        <w:t>una</w:t>
      </w:r>
      <w:r w:rsidR="00C868A9" w:rsidRPr="00995A7E">
        <w:rPr>
          <w:rFonts w:ascii="Trebuchet MS" w:hAnsi="Trebuchet MS" w:cs="Arial"/>
          <w:color w:val="5F5F5F"/>
          <w:sz w:val="20"/>
          <w:szCs w:val="20"/>
        </w:rPr>
        <w:t xml:space="preserve"> maggiore</w:t>
      </w:r>
      <w:r w:rsidRPr="00995A7E">
        <w:rPr>
          <w:rFonts w:ascii="Trebuchet MS" w:hAnsi="Trebuchet MS" w:cs="Arial"/>
          <w:color w:val="5F5F5F"/>
          <w:sz w:val="20"/>
          <w:szCs w:val="20"/>
        </w:rPr>
        <w:t xml:space="preserve"> propensione </w:t>
      </w:r>
      <w:r w:rsidR="00C868A9" w:rsidRPr="00995A7E">
        <w:rPr>
          <w:rFonts w:ascii="Trebuchet MS" w:hAnsi="Trebuchet MS" w:cs="Arial"/>
          <w:color w:val="5F5F5F"/>
          <w:sz w:val="20"/>
          <w:szCs w:val="20"/>
        </w:rPr>
        <w:t>dei cittadini europei a stabilirsi nell’area centro-meridionale della regione, a sud del capoluogo di regione, in particolar modo nella fascia jonica</w:t>
      </w:r>
      <w:r w:rsidRPr="00995A7E">
        <w:rPr>
          <w:rFonts w:ascii="Trebuchet MS" w:hAnsi="Trebuchet MS" w:cs="Arial"/>
          <w:color w:val="5F5F5F"/>
          <w:sz w:val="20"/>
          <w:szCs w:val="20"/>
        </w:rPr>
        <w:t>. Le collettività originarie dell’A</w:t>
      </w:r>
      <w:r w:rsidR="00C868A9" w:rsidRPr="00995A7E">
        <w:rPr>
          <w:rFonts w:ascii="Trebuchet MS" w:hAnsi="Trebuchet MS" w:cs="Arial"/>
          <w:color w:val="5F5F5F"/>
          <w:sz w:val="20"/>
          <w:szCs w:val="20"/>
        </w:rPr>
        <w:t>sia</w:t>
      </w:r>
      <w:r w:rsidRPr="00995A7E">
        <w:rPr>
          <w:rFonts w:ascii="Trebuchet MS" w:hAnsi="Trebuchet MS" w:cs="Arial"/>
          <w:color w:val="5F5F5F"/>
          <w:sz w:val="20"/>
          <w:szCs w:val="20"/>
        </w:rPr>
        <w:t xml:space="preserve"> sono relativamente più presenti </w:t>
      </w:r>
      <w:r w:rsidR="00C868A9" w:rsidRPr="00995A7E">
        <w:rPr>
          <w:rFonts w:ascii="Trebuchet MS" w:hAnsi="Trebuchet MS" w:cs="Arial"/>
          <w:color w:val="5F5F5F"/>
          <w:sz w:val="20"/>
          <w:szCs w:val="20"/>
        </w:rPr>
        <w:t>nell’area centro-settentrionale, soprattutto nelle colline del Vulture e dell’Alto Bradano, quelle di origine africana</w:t>
      </w:r>
      <w:r w:rsidR="00995A7E" w:rsidRPr="00995A7E">
        <w:rPr>
          <w:rFonts w:ascii="Trebuchet MS" w:hAnsi="Trebuchet MS" w:cs="Arial"/>
          <w:color w:val="5F5F5F"/>
          <w:sz w:val="20"/>
          <w:szCs w:val="20"/>
        </w:rPr>
        <w:t xml:space="preserve"> nell’area nord-occidentale, nelle colline del materano e, più a sud, in alcune zone del </w:t>
      </w:r>
      <w:r w:rsidR="005508F8">
        <w:rPr>
          <w:rFonts w:ascii="Trebuchet MS" w:hAnsi="Trebuchet MS" w:cs="Arial"/>
          <w:color w:val="5F5F5F"/>
          <w:sz w:val="20"/>
          <w:szCs w:val="20"/>
        </w:rPr>
        <w:t>M</w:t>
      </w:r>
      <w:r w:rsidR="00995A7E" w:rsidRPr="00995A7E">
        <w:rPr>
          <w:rFonts w:ascii="Trebuchet MS" w:hAnsi="Trebuchet MS" w:cs="Arial"/>
          <w:color w:val="5F5F5F"/>
          <w:sz w:val="20"/>
          <w:szCs w:val="20"/>
        </w:rPr>
        <w:t>edio Agr</w:t>
      </w:r>
      <w:r w:rsidR="005508F8">
        <w:rPr>
          <w:rFonts w:ascii="Trebuchet MS" w:hAnsi="Trebuchet MS" w:cs="Arial"/>
          <w:color w:val="5F5F5F"/>
          <w:sz w:val="20"/>
          <w:szCs w:val="20"/>
        </w:rPr>
        <w:t>o</w:t>
      </w:r>
      <w:r w:rsidR="00995A7E" w:rsidRPr="00995A7E">
        <w:rPr>
          <w:rFonts w:ascii="Trebuchet MS" w:hAnsi="Trebuchet MS" w:cs="Arial"/>
          <w:color w:val="5F5F5F"/>
          <w:sz w:val="20"/>
          <w:szCs w:val="20"/>
        </w:rPr>
        <w:t xml:space="preserve"> e del Pollino</w:t>
      </w:r>
      <w:r w:rsidR="00995A7E">
        <w:rPr>
          <w:rFonts w:ascii="Trebuchet MS" w:hAnsi="Trebuchet MS" w:cs="Arial"/>
          <w:color w:val="5F5F5F"/>
          <w:sz w:val="20"/>
          <w:szCs w:val="20"/>
        </w:rPr>
        <w:t>.</w:t>
      </w:r>
    </w:p>
    <w:p w:rsidR="00334440" w:rsidRPr="00C8399D" w:rsidRDefault="00334440" w:rsidP="00E072ED">
      <w:pPr>
        <w:spacing w:before="600" w:after="120"/>
        <w:jc w:val="both"/>
        <w:rPr>
          <w:rFonts w:ascii="Trebuchet MS" w:hAnsi="Trebuchet MS" w:cs="Arial"/>
          <w:b/>
          <w:color w:val="5F5F5F"/>
          <w:kern w:val="28"/>
        </w:rPr>
      </w:pPr>
      <w:r w:rsidRPr="00C8399D">
        <w:rPr>
          <w:rFonts w:ascii="Trebuchet MS" w:hAnsi="Trebuchet MS" w:cs="Arial"/>
          <w:b/>
          <w:color w:val="5F5F5F"/>
          <w:kern w:val="28"/>
          <w:sz w:val="22"/>
          <w:szCs w:val="22"/>
        </w:rPr>
        <w:t>I</w:t>
      </w:r>
      <w:r w:rsidR="004E4F60" w:rsidRPr="00C8399D">
        <w:rPr>
          <w:rFonts w:ascii="Trebuchet MS" w:hAnsi="Trebuchet MS" w:cs="Arial"/>
          <w:b/>
          <w:color w:val="5F5F5F"/>
          <w:kern w:val="28"/>
          <w:sz w:val="22"/>
          <w:szCs w:val="22"/>
        </w:rPr>
        <w:t xml:space="preserve">l grado di istruzione </w:t>
      </w:r>
    </w:p>
    <w:p w:rsidR="007E6E7F" w:rsidRPr="000D28C8" w:rsidRDefault="00334440" w:rsidP="00E072ED">
      <w:pPr>
        <w:spacing w:before="240" w:after="120"/>
        <w:jc w:val="both"/>
        <w:rPr>
          <w:rFonts w:ascii="Trebuchet MS" w:hAnsi="Trebuchet MS" w:cs="Arial"/>
          <w:color w:val="5F5F5F"/>
          <w:sz w:val="20"/>
          <w:szCs w:val="20"/>
        </w:rPr>
      </w:pPr>
      <w:r w:rsidRPr="000D28C8">
        <w:rPr>
          <w:rFonts w:ascii="Trebuchet MS" w:hAnsi="Trebuchet MS" w:cs="Arial"/>
          <w:color w:val="5F5F5F"/>
          <w:sz w:val="20"/>
          <w:szCs w:val="20"/>
        </w:rPr>
        <w:t xml:space="preserve">Al 31 dicembre 2019, tra </w:t>
      </w:r>
      <w:r w:rsidR="00B7501A" w:rsidRPr="000D28C8">
        <w:rPr>
          <w:rFonts w:ascii="Trebuchet MS" w:hAnsi="Trebuchet MS" w:cs="Arial"/>
          <w:color w:val="5F5F5F"/>
          <w:sz w:val="20"/>
          <w:szCs w:val="20"/>
        </w:rPr>
        <w:t xml:space="preserve">i </w:t>
      </w:r>
      <w:r w:rsidR="009F7660" w:rsidRPr="000D28C8">
        <w:rPr>
          <w:rFonts w:ascii="Trebuchet MS" w:hAnsi="Trebuchet MS" w:cs="Arial"/>
          <w:color w:val="5F5F5F"/>
          <w:sz w:val="20"/>
          <w:szCs w:val="20"/>
        </w:rPr>
        <w:t>517.272</w:t>
      </w:r>
      <w:r w:rsidR="00720079" w:rsidRPr="000D28C8">
        <w:rPr>
          <w:rFonts w:ascii="Trebuchet MS" w:hAnsi="Trebuchet MS" w:cs="Arial"/>
          <w:color w:val="5F5F5F"/>
          <w:sz w:val="20"/>
          <w:szCs w:val="20"/>
        </w:rPr>
        <w:t>luc</w:t>
      </w:r>
      <w:r w:rsidR="00B7501A" w:rsidRPr="000D28C8">
        <w:rPr>
          <w:rFonts w:ascii="Trebuchet MS" w:hAnsi="Trebuchet MS" w:cs="Arial"/>
          <w:color w:val="5F5F5F"/>
          <w:sz w:val="20"/>
          <w:szCs w:val="20"/>
        </w:rPr>
        <w:t>ani di</w:t>
      </w:r>
      <w:r w:rsidR="009F7660" w:rsidRPr="000D28C8">
        <w:rPr>
          <w:rFonts w:ascii="Trebuchet MS" w:hAnsi="Trebuchet MS" w:cs="Arial"/>
          <w:color w:val="5F5F5F"/>
          <w:sz w:val="20"/>
          <w:szCs w:val="20"/>
        </w:rPr>
        <w:t>nove</w:t>
      </w:r>
      <w:r w:rsidRPr="000D28C8">
        <w:rPr>
          <w:rFonts w:ascii="Trebuchet MS" w:hAnsi="Trebuchet MS" w:cs="Arial"/>
          <w:color w:val="5F5F5F"/>
          <w:sz w:val="20"/>
          <w:szCs w:val="20"/>
        </w:rPr>
        <w:t xml:space="preserve"> anni e più</w:t>
      </w:r>
      <w:r w:rsidR="00AF71DD" w:rsidRPr="000D28C8">
        <w:rPr>
          <w:rFonts w:ascii="Trebuchet MS" w:hAnsi="Trebuchet MS" w:cs="Arial"/>
          <w:color w:val="5F5F5F"/>
          <w:sz w:val="20"/>
          <w:szCs w:val="20"/>
        </w:rPr>
        <w:t>,</w:t>
      </w:r>
      <w:r w:rsidR="00B7501A" w:rsidRPr="000D28C8">
        <w:rPr>
          <w:rFonts w:ascii="Trebuchet MS" w:hAnsi="Trebuchet MS" w:cs="Arial"/>
          <w:color w:val="5F5F5F"/>
          <w:sz w:val="20"/>
          <w:szCs w:val="20"/>
        </w:rPr>
        <w:t xml:space="preserve">il </w:t>
      </w:r>
      <w:r w:rsidRPr="000D28C8">
        <w:rPr>
          <w:rFonts w:ascii="Trebuchet MS" w:hAnsi="Trebuchet MS" w:cs="Arial"/>
          <w:color w:val="5F5F5F"/>
          <w:sz w:val="20"/>
          <w:szCs w:val="20"/>
        </w:rPr>
        <w:t>3</w:t>
      </w:r>
      <w:r w:rsidR="00720079" w:rsidRPr="000D28C8">
        <w:rPr>
          <w:rFonts w:ascii="Trebuchet MS" w:hAnsi="Trebuchet MS" w:cs="Arial"/>
          <w:color w:val="5F5F5F"/>
          <w:sz w:val="20"/>
          <w:szCs w:val="20"/>
        </w:rPr>
        <w:t>5</w:t>
      </w:r>
      <w:r w:rsidRPr="000D28C8">
        <w:rPr>
          <w:rFonts w:ascii="Trebuchet MS" w:hAnsi="Trebuchet MS" w:cs="Arial"/>
          <w:color w:val="5F5F5F"/>
          <w:sz w:val="20"/>
          <w:szCs w:val="20"/>
        </w:rPr>
        <w:t>,</w:t>
      </w:r>
      <w:r w:rsidR="00720079" w:rsidRPr="000D28C8">
        <w:rPr>
          <w:rFonts w:ascii="Trebuchet MS" w:hAnsi="Trebuchet MS" w:cs="Arial"/>
          <w:color w:val="5F5F5F"/>
          <w:sz w:val="20"/>
          <w:szCs w:val="20"/>
        </w:rPr>
        <w:t>3</w:t>
      </w:r>
      <w:r w:rsidRPr="000D28C8">
        <w:rPr>
          <w:rFonts w:ascii="Trebuchet MS" w:hAnsi="Trebuchet MS" w:cs="Arial"/>
          <w:color w:val="5F5F5F"/>
          <w:sz w:val="20"/>
          <w:szCs w:val="20"/>
        </w:rPr>
        <w:t>% ha un diploma di scuola secondaria di secondo grado o di qualifica professionale</w:t>
      </w:r>
      <w:r w:rsidRPr="000D28C8">
        <w:rPr>
          <w:rFonts w:ascii="Trebuchet MS" w:hAnsi="Trebuchet MS" w:cs="Arial"/>
          <w:color w:val="5F5F5F"/>
          <w:sz w:val="20"/>
          <w:szCs w:val="20"/>
          <w:vertAlign w:val="superscript"/>
        </w:rPr>
        <w:footnoteReference w:id="6"/>
      </w:r>
      <w:r w:rsidRPr="000D28C8">
        <w:rPr>
          <w:rFonts w:ascii="Trebuchet MS" w:hAnsi="Trebuchet MS" w:cs="Arial"/>
          <w:color w:val="5F5F5F"/>
          <w:sz w:val="20"/>
          <w:szCs w:val="20"/>
        </w:rPr>
        <w:t xml:space="preserve">, </w:t>
      </w:r>
      <w:r w:rsidR="00720079" w:rsidRPr="000D28C8">
        <w:rPr>
          <w:rFonts w:ascii="Trebuchet MS" w:hAnsi="Trebuchet MS" w:cs="Arial"/>
          <w:color w:val="5F5F5F"/>
          <w:sz w:val="20"/>
          <w:szCs w:val="20"/>
        </w:rPr>
        <w:t xml:space="preserve">il 28,2% la licenza di scuola media e </w:t>
      </w:r>
      <w:r w:rsidR="00CB6DCC" w:rsidRPr="000D28C8">
        <w:rPr>
          <w:rFonts w:ascii="Trebuchet MS" w:hAnsi="Trebuchet MS" w:cs="Arial"/>
          <w:color w:val="5F5F5F"/>
          <w:sz w:val="20"/>
          <w:szCs w:val="20"/>
        </w:rPr>
        <w:t>il 16,</w:t>
      </w:r>
      <w:r w:rsidR="00720079" w:rsidRPr="000D28C8">
        <w:rPr>
          <w:rFonts w:ascii="Trebuchet MS" w:hAnsi="Trebuchet MS" w:cs="Arial"/>
          <w:color w:val="5F5F5F"/>
          <w:sz w:val="20"/>
          <w:szCs w:val="20"/>
        </w:rPr>
        <w:t>3</w:t>
      </w:r>
      <w:r w:rsidR="00CB6DCC" w:rsidRPr="000D28C8">
        <w:rPr>
          <w:rFonts w:ascii="Trebuchet MS" w:hAnsi="Trebuchet MS" w:cs="Arial"/>
          <w:color w:val="5F5F5F"/>
          <w:sz w:val="20"/>
          <w:szCs w:val="20"/>
        </w:rPr>
        <w:t xml:space="preserve">% la licenza elementare. </w:t>
      </w:r>
      <w:r w:rsidRPr="000D28C8">
        <w:rPr>
          <w:rFonts w:ascii="Trebuchet MS" w:hAnsi="Trebuchet MS" w:cs="Arial"/>
          <w:color w:val="5F5F5F"/>
          <w:sz w:val="20"/>
          <w:szCs w:val="20"/>
        </w:rPr>
        <w:t>Le persone con un titolo terziario e superiore</w:t>
      </w:r>
      <w:r w:rsidR="004F5935" w:rsidRPr="000D28C8">
        <w:rPr>
          <w:rStyle w:val="Rimandonotaapidipagina"/>
          <w:rFonts w:ascii="Trebuchet MS" w:hAnsi="Trebuchet MS" w:cs="Arial"/>
          <w:color w:val="5F5F5F"/>
          <w:sz w:val="20"/>
          <w:szCs w:val="20"/>
        </w:rPr>
        <w:footnoteReference w:id="7"/>
      </w:r>
      <w:r w:rsidRPr="000D28C8">
        <w:rPr>
          <w:rFonts w:ascii="Trebuchet MS" w:hAnsi="Trebuchet MS" w:cs="Arial"/>
          <w:color w:val="5F5F5F"/>
          <w:sz w:val="20"/>
          <w:szCs w:val="20"/>
        </w:rPr>
        <w:t xml:space="preserve"> sono il </w:t>
      </w:r>
      <w:r w:rsidR="00720079" w:rsidRPr="000D28C8">
        <w:rPr>
          <w:rFonts w:ascii="Trebuchet MS" w:hAnsi="Trebuchet MS" w:cs="Arial"/>
          <w:color w:val="5F5F5F"/>
          <w:sz w:val="20"/>
          <w:szCs w:val="20"/>
        </w:rPr>
        <w:t>13,5</w:t>
      </w:r>
      <w:r w:rsidRPr="000D28C8">
        <w:rPr>
          <w:rFonts w:ascii="Trebuchet MS" w:hAnsi="Trebuchet MS" w:cs="Arial"/>
          <w:color w:val="5F5F5F"/>
          <w:sz w:val="20"/>
          <w:szCs w:val="20"/>
        </w:rPr>
        <w:t>%: il 3,</w:t>
      </w:r>
      <w:r w:rsidR="00720079" w:rsidRPr="000D28C8">
        <w:rPr>
          <w:rFonts w:ascii="Trebuchet MS" w:hAnsi="Trebuchet MS" w:cs="Arial"/>
          <w:color w:val="5F5F5F"/>
          <w:sz w:val="20"/>
          <w:szCs w:val="20"/>
        </w:rPr>
        <w:t>8</w:t>
      </w:r>
      <w:r w:rsidRPr="000D28C8">
        <w:rPr>
          <w:rFonts w:ascii="Trebuchet MS" w:hAnsi="Trebuchet MS" w:cs="Arial"/>
          <w:color w:val="5F5F5F"/>
          <w:sz w:val="20"/>
          <w:szCs w:val="20"/>
        </w:rPr>
        <w:t xml:space="preserve">% </w:t>
      </w:r>
      <w:r w:rsidR="00F41A58" w:rsidRPr="000D28C8">
        <w:rPr>
          <w:rFonts w:ascii="Trebuchet MS" w:hAnsi="Trebuchet MS" w:cs="Arial"/>
          <w:color w:val="5F5F5F"/>
          <w:sz w:val="20"/>
          <w:szCs w:val="20"/>
        </w:rPr>
        <w:t xml:space="preserve">ha conseguito un titolo di </w:t>
      </w:r>
      <w:r w:rsidR="00F41A58" w:rsidRPr="000D28C8">
        <w:rPr>
          <w:rFonts w:ascii="Trebuchet MS" w:hAnsi="Trebuchet MS" w:cs="Arial"/>
          <w:color w:val="5F5F5F"/>
          <w:sz w:val="20"/>
          <w:szCs w:val="20"/>
        </w:rPr>
        <w:lastRenderedPageBreak/>
        <w:t>primo livello, il 9,</w:t>
      </w:r>
      <w:r w:rsidR="00720079" w:rsidRPr="000D28C8">
        <w:rPr>
          <w:rFonts w:ascii="Trebuchet MS" w:hAnsi="Trebuchet MS" w:cs="Arial"/>
          <w:color w:val="5F5F5F"/>
          <w:sz w:val="20"/>
          <w:szCs w:val="20"/>
        </w:rPr>
        <w:t>4</w:t>
      </w:r>
      <w:r w:rsidR="00F41A58" w:rsidRPr="000D28C8">
        <w:rPr>
          <w:rFonts w:ascii="Trebuchet MS" w:hAnsi="Trebuchet MS" w:cs="Arial"/>
          <w:color w:val="5F5F5F"/>
          <w:sz w:val="20"/>
          <w:szCs w:val="20"/>
        </w:rPr>
        <w:t>%</w:t>
      </w:r>
      <w:r w:rsidRPr="000D28C8">
        <w:rPr>
          <w:rFonts w:ascii="Trebuchet MS" w:hAnsi="Trebuchet MS" w:cs="Arial"/>
          <w:color w:val="5F5F5F"/>
          <w:sz w:val="20"/>
          <w:szCs w:val="20"/>
        </w:rPr>
        <w:t xml:space="preserve"> uno di </w:t>
      </w:r>
      <w:r w:rsidR="00F41A58" w:rsidRPr="000D28C8">
        <w:rPr>
          <w:rFonts w:ascii="Trebuchet MS" w:hAnsi="Trebuchet MS" w:cs="Arial"/>
          <w:color w:val="5F5F5F"/>
          <w:sz w:val="20"/>
          <w:szCs w:val="20"/>
        </w:rPr>
        <w:t>secondo</w:t>
      </w:r>
      <w:r w:rsidRPr="000D28C8">
        <w:rPr>
          <w:rFonts w:ascii="Trebuchet MS" w:hAnsi="Trebuchet MS" w:cs="Arial"/>
          <w:color w:val="5F5F5F"/>
          <w:sz w:val="20"/>
          <w:szCs w:val="20"/>
        </w:rPr>
        <w:t xml:space="preserve">. I dottori di ricerca residenti In </w:t>
      </w:r>
      <w:r w:rsidR="00427B53" w:rsidRPr="000D28C8">
        <w:rPr>
          <w:rFonts w:ascii="Trebuchet MS" w:hAnsi="Trebuchet MS" w:cs="Arial"/>
          <w:color w:val="5F5F5F"/>
          <w:sz w:val="20"/>
          <w:szCs w:val="20"/>
        </w:rPr>
        <w:t>Basilicata</w:t>
      </w:r>
      <w:r w:rsidRPr="000D28C8">
        <w:rPr>
          <w:rFonts w:ascii="Trebuchet MS" w:hAnsi="Trebuchet MS" w:cs="Arial"/>
          <w:color w:val="5F5F5F"/>
          <w:sz w:val="20"/>
          <w:szCs w:val="20"/>
        </w:rPr>
        <w:t xml:space="preserve"> sono 1.4</w:t>
      </w:r>
      <w:r w:rsidR="00720079" w:rsidRPr="000D28C8">
        <w:rPr>
          <w:rFonts w:ascii="Trebuchet MS" w:hAnsi="Trebuchet MS" w:cs="Arial"/>
          <w:color w:val="5F5F5F"/>
          <w:sz w:val="20"/>
          <w:szCs w:val="20"/>
        </w:rPr>
        <w:t>26</w:t>
      </w:r>
      <w:r w:rsidRPr="000D28C8">
        <w:rPr>
          <w:rFonts w:ascii="Trebuchet MS" w:hAnsi="Trebuchet MS" w:cs="Arial"/>
          <w:color w:val="5F5F5F"/>
          <w:sz w:val="20"/>
          <w:szCs w:val="20"/>
        </w:rPr>
        <w:t>, pari allo 0,3%. Le persone analfabete rappresentano l’1,</w:t>
      </w:r>
      <w:r w:rsidR="00720079" w:rsidRPr="000D28C8">
        <w:rPr>
          <w:rFonts w:ascii="Trebuchet MS" w:hAnsi="Trebuchet MS" w:cs="Arial"/>
          <w:color w:val="5F5F5F"/>
          <w:sz w:val="20"/>
          <w:szCs w:val="20"/>
        </w:rPr>
        <w:t>4</w:t>
      </w:r>
      <w:r w:rsidRPr="000D28C8">
        <w:rPr>
          <w:rFonts w:ascii="Trebuchet MS" w:hAnsi="Trebuchet MS" w:cs="Arial"/>
          <w:color w:val="5F5F5F"/>
          <w:sz w:val="20"/>
          <w:szCs w:val="20"/>
        </w:rPr>
        <w:t xml:space="preserve">% della popolazione di 9 anni e più mentre gli alfabeti privi di titolo di studio sono il </w:t>
      </w:r>
      <w:r w:rsidR="00720079" w:rsidRPr="000D28C8">
        <w:rPr>
          <w:rFonts w:ascii="Trebuchet MS" w:hAnsi="Trebuchet MS" w:cs="Arial"/>
          <w:color w:val="5F5F5F"/>
          <w:sz w:val="20"/>
          <w:szCs w:val="20"/>
        </w:rPr>
        <w:t>5,3</w:t>
      </w:r>
      <w:r w:rsidRPr="000D28C8">
        <w:rPr>
          <w:rFonts w:ascii="Trebuchet MS" w:hAnsi="Trebuchet MS" w:cs="Arial"/>
          <w:color w:val="5F5F5F"/>
          <w:sz w:val="20"/>
          <w:szCs w:val="20"/>
        </w:rPr>
        <w:t>%.</w:t>
      </w:r>
    </w:p>
    <w:p w:rsidR="00F2567E" w:rsidRPr="000D28C8" w:rsidRDefault="007E6E7F" w:rsidP="007E6E7F">
      <w:pPr>
        <w:spacing w:after="120"/>
        <w:jc w:val="both"/>
        <w:rPr>
          <w:rFonts w:ascii="Trebuchet MS" w:hAnsi="Trebuchet MS" w:cs="Arial"/>
          <w:color w:val="5F5F5F"/>
          <w:sz w:val="20"/>
          <w:szCs w:val="20"/>
        </w:rPr>
      </w:pPr>
      <w:r w:rsidRPr="000D28C8">
        <w:rPr>
          <w:rFonts w:ascii="Trebuchet MS" w:hAnsi="Trebuchet MS" w:cs="Arial"/>
          <w:color w:val="5F5F5F"/>
          <w:sz w:val="20"/>
          <w:szCs w:val="20"/>
        </w:rPr>
        <w:t xml:space="preserve">Tra il 2011 e il 2019 </w:t>
      </w:r>
      <w:r w:rsidR="00F41A58" w:rsidRPr="000D28C8">
        <w:rPr>
          <w:rFonts w:ascii="Trebuchet MS" w:hAnsi="Trebuchet MS" w:cs="Arial"/>
          <w:color w:val="5F5F5F"/>
          <w:sz w:val="20"/>
          <w:szCs w:val="20"/>
        </w:rPr>
        <w:t>il livello</w:t>
      </w:r>
      <w:r w:rsidRPr="000D28C8">
        <w:rPr>
          <w:rFonts w:ascii="Trebuchet MS" w:hAnsi="Trebuchet MS" w:cs="Arial"/>
          <w:color w:val="5F5F5F"/>
          <w:sz w:val="20"/>
          <w:szCs w:val="20"/>
        </w:rPr>
        <w:t xml:space="preserve"> dell’istruzione nella regione </w:t>
      </w:r>
      <w:r w:rsidR="00427B53" w:rsidRPr="000D28C8">
        <w:rPr>
          <w:rFonts w:ascii="Trebuchet MS" w:hAnsi="Trebuchet MS" w:cs="Arial"/>
          <w:color w:val="5F5F5F"/>
          <w:sz w:val="20"/>
          <w:szCs w:val="20"/>
        </w:rPr>
        <w:t>Basilicata</w:t>
      </w:r>
      <w:r w:rsidRPr="000D28C8">
        <w:rPr>
          <w:rFonts w:ascii="Trebuchet MS" w:hAnsi="Trebuchet MS" w:cs="Arial"/>
          <w:color w:val="5F5F5F"/>
          <w:sz w:val="20"/>
          <w:szCs w:val="20"/>
        </w:rPr>
        <w:t xml:space="preserve"> è nettamente migliorat</w:t>
      </w:r>
      <w:r w:rsidR="00F41A58" w:rsidRPr="000D28C8">
        <w:rPr>
          <w:rFonts w:ascii="Trebuchet MS" w:hAnsi="Trebuchet MS" w:cs="Arial"/>
          <w:color w:val="5F5F5F"/>
          <w:sz w:val="20"/>
          <w:szCs w:val="20"/>
        </w:rPr>
        <w:t>o</w:t>
      </w:r>
      <w:r w:rsidRPr="000D28C8">
        <w:rPr>
          <w:rFonts w:ascii="Trebuchet MS" w:hAnsi="Trebuchet MS" w:cs="Arial"/>
          <w:color w:val="5F5F5F"/>
          <w:sz w:val="20"/>
          <w:szCs w:val="20"/>
        </w:rPr>
        <w:t>, in linea con quanto si registra a livello nazionale</w:t>
      </w:r>
      <w:r w:rsidR="00F41A58" w:rsidRPr="000D28C8">
        <w:rPr>
          <w:rFonts w:ascii="Trebuchet MS" w:hAnsi="Trebuchet MS" w:cs="Arial"/>
          <w:color w:val="5F5F5F"/>
          <w:sz w:val="20"/>
          <w:szCs w:val="20"/>
        </w:rPr>
        <w:t>.</w:t>
      </w:r>
    </w:p>
    <w:p w:rsidR="00F41A58" w:rsidRPr="000D28C8" w:rsidRDefault="00F41A58" w:rsidP="007E6E7F">
      <w:pPr>
        <w:spacing w:after="120"/>
        <w:jc w:val="both"/>
        <w:rPr>
          <w:rFonts w:ascii="Trebuchet MS" w:hAnsi="Trebuchet MS" w:cs="Arial"/>
          <w:color w:val="5F5F5F"/>
          <w:sz w:val="20"/>
          <w:szCs w:val="20"/>
        </w:rPr>
      </w:pPr>
      <w:r w:rsidRPr="000D28C8">
        <w:rPr>
          <w:rFonts w:ascii="Trebuchet MS" w:hAnsi="Trebuchet MS" w:cs="Arial"/>
          <w:color w:val="5F5F5F"/>
          <w:sz w:val="20"/>
          <w:szCs w:val="20"/>
        </w:rPr>
        <w:t xml:space="preserve">La presenza degli analfabeti </w:t>
      </w:r>
      <w:r w:rsidR="007E6E7F" w:rsidRPr="000D28C8">
        <w:rPr>
          <w:rFonts w:ascii="Trebuchet MS" w:hAnsi="Trebuchet MS" w:cs="Arial"/>
          <w:color w:val="5F5F5F"/>
          <w:sz w:val="20"/>
          <w:szCs w:val="20"/>
        </w:rPr>
        <w:t xml:space="preserve">è dimezzata </w:t>
      </w:r>
      <w:r w:rsidRPr="000D28C8">
        <w:rPr>
          <w:rFonts w:ascii="Trebuchet MS" w:hAnsi="Trebuchet MS" w:cs="Arial"/>
          <w:color w:val="5F5F5F"/>
          <w:sz w:val="20"/>
          <w:szCs w:val="20"/>
        </w:rPr>
        <w:t>m</w:t>
      </w:r>
      <w:r w:rsidR="007E6E7F" w:rsidRPr="000D28C8">
        <w:rPr>
          <w:rFonts w:ascii="Trebuchet MS" w:hAnsi="Trebuchet MS" w:cs="Arial"/>
          <w:color w:val="5F5F5F"/>
          <w:sz w:val="20"/>
          <w:szCs w:val="20"/>
        </w:rPr>
        <w:t>e</w:t>
      </w:r>
      <w:r w:rsidRPr="000D28C8">
        <w:rPr>
          <w:rFonts w:ascii="Trebuchet MS" w:hAnsi="Trebuchet MS" w:cs="Arial"/>
          <w:color w:val="5F5F5F"/>
          <w:sz w:val="20"/>
          <w:szCs w:val="20"/>
        </w:rPr>
        <w:t xml:space="preserve">ntre gli alfabeti privi di titolo di studiopassano dal </w:t>
      </w:r>
      <w:r w:rsidR="00720079" w:rsidRPr="000D28C8">
        <w:rPr>
          <w:rFonts w:ascii="Trebuchet MS" w:hAnsi="Trebuchet MS" w:cs="Arial"/>
          <w:color w:val="5F5F5F"/>
          <w:sz w:val="20"/>
          <w:szCs w:val="20"/>
        </w:rPr>
        <w:t>7,5</w:t>
      </w:r>
      <w:r w:rsidR="00AF71DD" w:rsidRPr="000D28C8">
        <w:rPr>
          <w:rFonts w:ascii="Trebuchet MS" w:hAnsi="Trebuchet MS" w:cs="Arial"/>
          <w:color w:val="5F5F5F"/>
          <w:sz w:val="20"/>
          <w:szCs w:val="20"/>
        </w:rPr>
        <w:t>%</w:t>
      </w:r>
      <w:r w:rsidRPr="000D28C8">
        <w:rPr>
          <w:rFonts w:ascii="Trebuchet MS" w:hAnsi="Trebuchet MS" w:cs="Arial"/>
          <w:color w:val="5F5F5F"/>
          <w:sz w:val="20"/>
          <w:szCs w:val="20"/>
        </w:rPr>
        <w:t xml:space="preserve"> al </w:t>
      </w:r>
      <w:r w:rsidR="00720079" w:rsidRPr="000D28C8">
        <w:rPr>
          <w:rFonts w:ascii="Trebuchet MS" w:hAnsi="Trebuchet MS" w:cs="Arial"/>
          <w:color w:val="5F5F5F"/>
          <w:sz w:val="20"/>
          <w:szCs w:val="20"/>
        </w:rPr>
        <w:t>5,3</w:t>
      </w:r>
      <w:r w:rsidR="00AF71DD" w:rsidRPr="000D28C8">
        <w:rPr>
          <w:rFonts w:ascii="Trebuchet MS" w:hAnsi="Trebuchet MS" w:cs="Arial"/>
          <w:color w:val="5F5F5F"/>
          <w:sz w:val="20"/>
          <w:szCs w:val="20"/>
        </w:rPr>
        <w:t>%</w:t>
      </w:r>
      <w:r w:rsidR="007E6E7F" w:rsidRPr="000D28C8">
        <w:rPr>
          <w:rFonts w:ascii="Trebuchet MS" w:hAnsi="Trebuchet MS" w:cs="Arial"/>
          <w:color w:val="5F5F5F"/>
          <w:sz w:val="20"/>
          <w:szCs w:val="20"/>
        </w:rPr>
        <w:t xml:space="preserve">. </w:t>
      </w:r>
      <w:r w:rsidRPr="000D28C8">
        <w:rPr>
          <w:rFonts w:ascii="Trebuchet MS" w:hAnsi="Trebuchet MS" w:cs="Arial"/>
          <w:color w:val="5F5F5F"/>
          <w:sz w:val="20"/>
          <w:szCs w:val="20"/>
        </w:rPr>
        <w:t>Rimane</w:t>
      </w:r>
      <w:r w:rsidR="007E6E7F" w:rsidRPr="000D28C8">
        <w:rPr>
          <w:rFonts w:ascii="Trebuchet MS" w:hAnsi="Trebuchet MS" w:cs="Arial"/>
          <w:color w:val="5F5F5F"/>
          <w:sz w:val="20"/>
          <w:szCs w:val="20"/>
        </w:rPr>
        <w:t xml:space="preserve"> stabile </w:t>
      </w:r>
      <w:r w:rsidR="00F829E3">
        <w:rPr>
          <w:rFonts w:ascii="Trebuchet MS" w:hAnsi="Trebuchet MS" w:cs="Arial"/>
          <w:color w:val="5F5F5F"/>
          <w:sz w:val="20"/>
          <w:szCs w:val="20"/>
        </w:rPr>
        <w:t>(</w:t>
      </w:r>
      <w:r w:rsidR="001215BC" w:rsidRPr="000D28C8">
        <w:rPr>
          <w:rFonts w:ascii="Trebuchet MS" w:hAnsi="Trebuchet MS" w:cs="Arial"/>
          <w:color w:val="5F5F5F"/>
          <w:sz w:val="20"/>
          <w:szCs w:val="20"/>
        </w:rPr>
        <w:t>28,2</w:t>
      </w:r>
      <w:r w:rsidR="00F2567E" w:rsidRPr="000D28C8">
        <w:rPr>
          <w:rFonts w:ascii="Trebuchet MS" w:hAnsi="Trebuchet MS" w:cs="Arial"/>
          <w:color w:val="5F5F5F"/>
          <w:sz w:val="20"/>
          <w:szCs w:val="20"/>
        </w:rPr>
        <w:t>%</w:t>
      </w:r>
      <w:r w:rsidR="00F829E3">
        <w:rPr>
          <w:rFonts w:ascii="Trebuchet MS" w:hAnsi="Trebuchet MS" w:cs="Arial"/>
          <w:color w:val="5F5F5F"/>
          <w:sz w:val="20"/>
          <w:szCs w:val="20"/>
        </w:rPr>
        <w:t>)</w:t>
      </w:r>
      <w:r w:rsidR="007E6E7F" w:rsidRPr="000D28C8">
        <w:rPr>
          <w:rFonts w:ascii="Trebuchet MS" w:hAnsi="Trebuchet MS" w:cs="Arial"/>
          <w:color w:val="5F5F5F"/>
          <w:sz w:val="20"/>
          <w:szCs w:val="20"/>
        </w:rPr>
        <w:t xml:space="preserve">la quota </w:t>
      </w:r>
      <w:r w:rsidR="00AE3F83" w:rsidRPr="000D28C8">
        <w:rPr>
          <w:rFonts w:ascii="Trebuchet MS" w:hAnsi="Trebuchet MS" w:cs="Arial"/>
          <w:color w:val="5F5F5F"/>
          <w:sz w:val="20"/>
          <w:szCs w:val="20"/>
        </w:rPr>
        <w:t>di persone con la licenza media mentre</w:t>
      </w:r>
      <w:r w:rsidR="007E6E7F" w:rsidRPr="000D28C8">
        <w:rPr>
          <w:rFonts w:ascii="Trebuchet MS" w:hAnsi="Trebuchet MS" w:cs="Arial"/>
          <w:color w:val="5F5F5F"/>
          <w:sz w:val="20"/>
          <w:szCs w:val="20"/>
        </w:rPr>
        <w:t xml:space="preserve"> diminuisce quella di persone con la sola licenza elementare</w:t>
      </w:r>
      <w:r w:rsidR="00B12C39" w:rsidRPr="000D28C8">
        <w:rPr>
          <w:rFonts w:ascii="Trebuchet MS" w:hAnsi="Trebuchet MS" w:cs="Arial"/>
          <w:color w:val="5F5F5F"/>
          <w:sz w:val="20"/>
          <w:szCs w:val="20"/>
        </w:rPr>
        <w:t xml:space="preserve"> (dal </w:t>
      </w:r>
      <w:r w:rsidR="001215BC" w:rsidRPr="000D28C8">
        <w:rPr>
          <w:rFonts w:ascii="Trebuchet MS" w:hAnsi="Trebuchet MS" w:cs="Arial"/>
          <w:color w:val="5F5F5F"/>
          <w:sz w:val="20"/>
          <w:szCs w:val="20"/>
        </w:rPr>
        <w:t>20,0</w:t>
      </w:r>
      <w:r w:rsidR="00B12C39" w:rsidRPr="000D28C8">
        <w:rPr>
          <w:rFonts w:ascii="Trebuchet MS" w:hAnsi="Trebuchet MS" w:cs="Arial"/>
          <w:color w:val="5F5F5F"/>
          <w:sz w:val="20"/>
          <w:szCs w:val="20"/>
        </w:rPr>
        <w:t>% al 16,</w:t>
      </w:r>
      <w:r w:rsidR="001215BC" w:rsidRPr="000D28C8">
        <w:rPr>
          <w:rFonts w:ascii="Trebuchet MS" w:hAnsi="Trebuchet MS" w:cs="Arial"/>
          <w:color w:val="5F5F5F"/>
          <w:sz w:val="20"/>
          <w:szCs w:val="20"/>
        </w:rPr>
        <w:t>3</w:t>
      </w:r>
      <w:r w:rsidR="00B12C39" w:rsidRPr="000D28C8">
        <w:rPr>
          <w:rFonts w:ascii="Trebuchet MS" w:hAnsi="Trebuchet MS" w:cs="Arial"/>
          <w:color w:val="5F5F5F"/>
          <w:sz w:val="20"/>
          <w:szCs w:val="20"/>
        </w:rPr>
        <w:t>%)</w:t>
      </w:r>
      <w:r w:rsidR="007E6E7F" w:rsidRPr="000D28C8">
        <w:rPr>
          <w:rFonts w:ascii="Trebuchet MS" w:hAnsi="Trebuchet MS" w:cs="Arial"/>
          <w:color w:val="5F5F5F"/>
          <w:sz w:val="20"/>
          <w:szCs w:val="20"/>
        </w:rPr>
        <w:t xml:space="preserve">a favore dei titoli di studio più alti e non obbligatori. </w:t>
      </w:r>
    </w:p>
    <w:p w:rsidR="00261A91" w:rsidRDefault="007E6E7F" w:rsidP="00B474D4">
      <w:pPr>
        <w:spacing w:after="120"/>
        <w:jc w:val="both"/>
        <w:rPr>
          <w:rFonts w:ascii="Arial Narrow" w:hAnsi="Arial Narrow"/>
          <w:b/>
          <w:bCs/>
          <w:color w:val="595959" w:themeColor="text1" w:themeTint="A6"/>
          <w:sz w:val="22"/>
          <w:szCs w:val="22"/>
        </w:rPr>
      </w:pPr>
      <w:r w:rsidRPr="000D28C8">
        <w:rPr>
          <w:rFonts w:ascii="Trebuchet MS" w:hAnsi="Trebuchet MS" w:cs="Arial"/>
          <w:color w:val="5F5F5F"/>
          <w:sz w:val="20"/>
          <w:szCs w:val="20"/>
        </w:rPr>
        <w:t xml:space="preserve">Infatti, i residenti </w:t>
      </w:r>
      <w:r w:rsidR="00EF559A">
        <w:rPr>
          <w:rFonts w:ascii="Trebuchet MS" w:hAnsi="Trebuchet MS" w:cs="Arial"/>
          <w:color w:val="5F5F5F"/>
          <w:sz w:val="20"/>
          <w:szCs w:val="20"/>
        </w:rPr>
        <w:t>luca</w:t>
      </w:r>
      <w:r w:rsidRPr="000D28C8">
        <w:rPr>
          <w:rFonts w:ascii="Trebuchet MS" w:hAnsi="Trebuchet MS" w:cs="Arial"/>
          <w:color w:val="5F5F5F"/>
          <w:sz w:val="20"/>
          <w:szCs w:val="20"/>
        </w:rPr>
        <w:t xml:space="preserve">ni </w:t>
      </w:r>
      <w:r w:rsidR="001215BC" w:rsidRPr="000D28C8">
        <w:rPr>
          <w:rFonts w:ascii="Trebuchet MS" w:hAnsi="Trebuchet MS" w:cs="Arial"/>
          <w:color w:val="5F5F5F"/>
          <w:sz w:val="20"/>
          <w:szCs w:val="20"/>
        </w:rPr>
        <w:t xml:space="preserve">che hanno conseguito un diploma di scuola secondaria di secondo grado o di qualifica professionale passano dal 30,8% al 35,3%, quelli </w:t>
      </w:r>
      <w:r w:rsidRPr="000D28C8">
        <w:rPr>
          <w:rFonts w:ascii="Trebuchet MS" w:hAnsi="Trebuchet MS" w:cs="Arial"/>
          <w:color w:val="5F5F5F"/>
          <w:sz w:val="20"/>
          <w:szCs w:val="20"/>
        </w:rPr>
        <w:t xml:space="preserve">con un titolo universitario e superiore </w:t>
      </w:r>
      <w:r w:rsidR="00B12C39" w:rsidRPr="000D28C8">
        <w:rPr>
          <w:rFonts w:ascii="Trebuchet MS" w:hAnsi="Trebuchet MS" w:cs="Arial"/>
          <w:color w:val="5F5F5F"/>
          <w:sz w:val="20"/>
          <w:szCs w:val="20"/>
        </w:rPr>
        <w:t xml:space="preserve">dal 10,6% al </w:t>
      </w:r>
      <w:r w:rsidR="001215BC" w:rsidRPr="000D28C8">
        <w:rPr>
          <w:rFonts w:ascii="Trebuchet MS" w:hAnsi="Trebuchet MS" w:cs="Arial"/>
          <w:color w:val="5F5F5F"/>
          <w:sz w:val="20"/>
          <w:szCs w:val="20"/>
        </w:rPr>
        <w:t>13,5</w:t>
      </w:r>
      <w:r w:rsidR="00B12C39" w:rsidRPr="000D28C8">
        <w:rPr>
          <w:rFonts w:ascii="Trebuchet MS" w:hAnsi="Trebuchet MS" w:cs="Arial"/>
          <w:color w:val="5F5F5F"/>
          <w:sz w:val="20"/>
          <w:szCs w:val="20"/>
        </w:rPr>
        <w:t>%</w:t>
      </w:r>
      <w:r w:rsidR="00AE3F83" w:rsidRPr="000D28C8">
        <w:rPr>
          <w:rFonts w:ascii="Trebuchet MS" w:hAnsi="Trebuchet MS" w:cs="Arial"/>
          <w:color w:val="5F5F5F"/>
          <w:sz w:val="20"/>
          <w:szCs w:val="20"/>
        </w:rPr>
        <w:t xml:space="preserve">. </w:t>
      </w:r>
      <w:r w:rsidR="00B12C39" w:rsidRPr="000D28C8">
        <w:rPr>
          <w:rFonts w:ascii="Trebuchet MS" w:hAnsi="Trebuchet MS" w:cs="Arial"/>
          <w:color w:val="5F5F5F"/>
          <w:sz w:val="20"/>
          <w:szCs w:val="20"/>
        </w:rPr>
        <w:t xml:space="preserve">I </w:t>
      </w:r>
      <w:r w:rsidRPr="000D28C8">
        <w:rPr>
          <w:rFonts w:ascii="Trebuchet MS" w:hAnsi="Trebuchet MS" w:cs="Arial"/>
          <w:color w:val="5F5F5F"/>
          <w:sz w:val="20"/>
          <w:szCs w:val="20"/>
        </w:rPr>
        <w:t xml:space="preserve">possessori di un titolo terziario di </w:t>
      </w:r>
      <w:r w:rsidR="001215BC" w:rsidRPr="000D28C8">
        <w:rPr>
          <w:rFonts w:ascii="Trebuchet MS" w:hAnsi="Trebuchet MS" w:cs="Arial"/>
          <w:color w:val="5F5F5F"/>
          <w:sz w:val="20"/>
          <w:szCs w:val="20"/>
        </w:rPr>
        <w:t>primo</w:t>
      </w:r>
      <w:r w:rsidRPr="000D28C8">
        <w:rPr>
          <w:rFonts w:ascii="Trebuchet MS" w:hAnsi="Trebuchet MS" w:cs="Arial"/>
          <w:color w:val="5F5F5F"/>
          <w:sz w:val="20"/>
          <w:szCs w:val="20"/>
        </w:rPr>
        <w:t xml:space="preserve"> livello </w:t>
      </w:r>
      <w:r w:rsidR="00B12C39" w:rsidRPr="000D28C8">
        <w:rPr>
          <w:rFonts w:ascii="Trebuchet MS" w:hAnsi="Trebuchet MS" w:cs="Arial"/>
          <w:color w:val="5F5F5F"/>
          <w:sz w:val="20"/>
          <w:szCs w:val="20"/>
        </w:rPr>
        <w:t>salgono dal 2,</w:t>
      </w:r>
      <w:r w:rsidR="001215BC" w:rsidRPr="000D28C8">
        <w:rPr>
          <w:rFonts w:ascii="Trebuchet MS" w:hAnsi="Trebuchet MS" w:cs="Arial"/>
          <w:color w:val="5F5F5F"/>
          <w:sz w:val="20"/>
          <w:szCs w:val="20"/>
        </w:rPr>
        <w:t>6</w:t>
      </w:r>
      <w:r w:rsidR="00B12C39" w:rsidRPr="000D28C8">
        <w:rPr>
          <w:rFonts w:ascii="Trebuchet MS" w:hAnsi="Trebuchet MS" w:cs="Arial"/>
          <w:color w:val="5F5F5F"/>
          <w:sz w:val="20"/>
          <w:szCs w:val="20"/>
        </w:rPr>
        <w:t>% al 3,</w:t>
      </w:r>
      <w:r w:rsidR="001215BC" w:rsidRPr="000D28C8">
        <w:rPr>
          <w:rFonts w:ascii="Trebuchet MS" w:hAnsi="Trebuchet MS" w:cs="Arial"/>
          <w:color w:val="5F5F5F"/>
          <w:sz w:val="20"/>
          <w:szCs w:val="20"/>
        </w:rPr>
        <w:t>8</w:t>
      </w:r>
      <w:r w:rsidR="00B12C39" w:rsidRPr="000D28C8">
        <w:rPr>
          <w:rFonts w:ascii="Trebuchet MS" w:hAnsi="Trebuchet MS" w:cs="Arial"/>
          <w:color w:val="5F5F5F"/>
          <w:sz w:val="20"/>
          <w:szCs w:val="20"/>
        </w:rPr>
        <w:t xml:space="preserve">%, </w:t>
      </w:r>
      <w:r w:rsidR="001215BC" w:rsidRPr="000D28C8">
        <w:rPr>
          <w:rFonts w:ascii="Trebuchet MS" w:hAnsi="Trebuchet MS" w:cs="Arial"/>
          <w:color w:val="5F5F5F"/>
          <w:sz w:val="20"/>
          <w:szCs w:val="20"/>
        </w:rPr>
        <w:t>i resident</w:t>
      </w:r>
      <w:r w:rsidR="00B12C39" w:rsidRPr="000D28C8">
        <w:rPr>
          <w:rFonts w:ascii="Trebuchet MS" w:hAnsi="Trebuchet MS" w:cs="Arial"/>
          <w:color w:val="5F5F5F"/>
          <w:sz w:val="20"/>
          <w:szCs w:val="20"/>
        </w:rPr>
        <w:t>i</w:t>
      </w:r>
      <w:r w:rsidR="001215BC" w:rsidRPr="000D28C8">
        <w:rPr>
          <w:rFonts w:ascii="Trebuchet MS" w:hAnsi="Trebuchet MS" w:cs="Arial"/>
          <w:color w:val="5F5F5F"/>
          <w:sz w:val="20"/>
          <w:szCs w:val="20"/>
        </w:rPr>
        <w:t xml:space="preserve"> con un titolo terziario di secondo livello dal 7,7% al 9,4%. Si tratta di variazioni rilevanti anche in termini assoluti sia </w:t>
      </w:r>
      <w:r w:rsidR="00D5536E" w:rsidRPr="000D28C8">
        <w:rPr>
          <w:rFonts w:ascii="Trebuchet MS" w:hAnsi="Trebuchet MS" w:cs="Arial"/>
          <w:color w:val="5F5F5F"/>
          <w:sz w:val="20"/>
          <w:szCs w:val="20"/>
        </w:rPr>
        <w:t>per i</w:t>
      </w:r>
      <w:r w:rsidR="001215BC" w:rsidRPr="000D28C8">
        <w:rPr>
          <w:rFonts w:ascii="Trebuchet MS" w:hAnsi="Trebuchet MS" w:cs="Arial"/>
          <w:color w:val="5F5F5F"/>
          <w:sz w:val="20"/>
          <w:szCs w:val="20"/>
        </w:rPr>
        <w:t xml:space="preserve"> diplomati (+18 mila, +10,8%) che per i laureati di primo livello</w:t>
      </w:r>
      <w:r w:rsidR="00B474D4" w:rsidRPr="000D28C8">
        <w:rPr>
          <w:rFonts w:ascii="Trebuchet MS" w:hAnsi="Trebuchet MS" w:cs="Arial"/>
          <w:color w:val="5F5F5F"/>
          <w:sz w:val="20"/>
          <w:szCs w:val="20"/>
        </w:rPr>
        <w:t xml:space="preserve"> (da 14.008 a 19.539 unità, +39,5%) e di secondo livello (da 41.115 a 48.797, +18,7%).</w:t>
      </w:r>
    </w:p>
    <w:p w:rsidR="00334440" w:rsidRPr="00710C34" w:rsidRDefault="00334440" w:rsidP="00E072ED">
      <w:pPr>
        <w:keepNext/>
        <w:keepLines/>
        <w:spacing w:before="240" w:after="60"/>
        <w:jc w:val="both"/>
        <w:rPr>
          <w:rFonts w:ascii="Arial Narrow" w:hAnsi="Arial Narrow"/>
          <w:color w:val="595959" w:themeColor="text1" w:themeTint="A6"/>
          <w:sz w:val="22"/>
          <w:szCs w:val="22"/>
        </w:rPr>
      </w:pPr>
      <w:r w:rsidRPr="00710C34">
        <w:rPr>
          <w:rFonts w:ascii="Arial Narrow" w:hAnsi="Arial Narrow"/>
          <w:b/>
          <w:bCs/>
          <w:color w:val="595959" w:themeColor="text1" w:themeTint="A6"/>
          <w:sz w:val="22"/>
          <w:szCs w:val="22"/>
        </w:rPr>
        <w:t xml:space="preserve">PROSPETTO </w:t>
      </w:r>
      <w:r w:rsidR="004E4F60" w:rsidRPr="00710C34">
        <w:rPr>
          <w:rFonts w:ascii="Arial Narrow" w:hAnsi="Arial Narrow"/>
          <w:b/>
          <w:bCs/>
          <w:color w:val="595959" w:themeColor="text1" w:themeTint="A6"/>
          <w:sz w:val="22"/>
          <w:szCs w:val="22"/>
        </w:rPr>
        <w:t>9</w:t>
      </w:r>
      <w:r w:rsidRPr="00710C34">
        <w:rPr>
          <w:rFonts w:ascii="Arial Narrow" w:hAnsi="Arial Narrow"/>
          <w:b/>
          <w:bCs/>
          <w:color w:val="595959" w:themeColor="text1" w:themeTint="A6"/>
          <w:sz w:val="22"/>
          <w:szCs w:val="22"/>
        </w:rPr>
        <w:t>.</w:t>
      </w:r>
      <w:r w:rsidRPr="00710C34">
        <w:rPr>
          <w:rFonts w:ascii="Arial Narrow" w:hAnsi="Arial Narrow"/>
          <w:color w:val="595959" w:themeColor="text1" w:themeTint="A6"/>
          <w:sz w:val="22"/>
          <w:szCs w:val="22"/>
        </w:rPr>
        <w:t>POPOLAZIONE DI 9 ANNI E PI</w:t>
      </w:r>
      <w:r w:rsidR="00B474D4">
        <w:rPr>
          <w:rFonts w:ascii="Arial Narrow" w:hAnsi="Arial Narrow"/>
          <w:color w:val="595959" w:themeColor="text1" w:themeTint="A6"/>
          <w:sz w:val="22"/>
          <w:szCs w:val="22"/>
        </w:rPr>
        <w:t>Ù</w:t>
      </w:r>
      <w:r w:rsidRPr="00710C34">
        <w:rPr>
          <w:rFonts w:ascii="Arial Narrow" w:hAnsi="Arial Narrow"/>
          <w:color w:val="595959" w:themeColor="text1" w:themeTint="A6"/>
          <w:sz w:val="22"/>
          <w:szCs w:val="22"/>
        </w:rPr>
        <w:t xml:space="preserve"> PER GRADO DI ISTRUZIONE.</w:t>
      </w:r>
      <w:r w:rsidRPr="00B474D4">
        <w:rPr>
          <w:rFonts w:ascii="Arial Narrow" w:hAnsi="Arial Narrow"/>
          <w:color w:val="595959" w:themeColor="text1" w:themeTint="A6"/>
          <w:sz w:val="20"/>
          <w:szCs w:val="20"/>
        </w:rPr>
        <w:t xml:space="preserve">Anni </w:t>
      </w:r>
      <w:r w:rsidR="004F5935" w:rsidRPr="00B474D4">
        <w:rPr>
          <w:rFonts w:ascii="Arial Narrow" w:hAnsi="Arial Narrow"/>
          <w:color w:val="595959" w:themeColor="text1" w:themeTint="A6"/>
          <w:sz w:val="20"/>
          <w:szCs w:val="20"/>
        </w:rPr>
        <w:t>2019</w:t>
      </w:r>
      <w:r w:rsidRPr="00B474D4">
        <w:rPr>
          <w:rFonts w:ascii="Arial Narrow" w:hAnsi="Arial Narrow"/>
          <w:color w:val="595959" w:themeColor="text1" w:themeTint="A6"/>
          <w:sz w:val="20"/>
          <w:szCs w:val="20"/>
        </w:rPr>
        <w:t xml:space="preserve">, 2018 e </w:t>
      </w:r>
      <w:r w:rsidR="004F5935" w:rsidRPr="00B474D4">
        <w:rPr>
          <w:rFonts w:ascii="Arial Narrow" w:hAnsi="Arial Narrow"/>
          <w:color w:val="595959" w:themeColor="text1" w:themeTint="A6"/>
          <w:sz w:val="20"/>
          <w:szCs w:val="20"/>
        </w:rPr>
        <w:t>2011</w:t>
      </w:r>
      <w:r w:rsidRPr="00B474D4">
        <w:rPr>
          <w:rFonts w:ascii="Arial Narrow" w:hAnsi="Arial Narrow"/>
          <w:color w:val="595959" w:themeColor="text1" w:themeTint="A6"/>
          <w:sz w:val="20"/>
          <w:szCs w:val="20"/>
        </w:rPr>
        <w:t>. Valori assoluti e composizione percentuale</w:t>
      </w:r>
    </w:p>
    <w:tbl>
      <w:tblPr>
        <w:tblW w:w="5000" w:type="pct"/>
        <w:tblBorders>
          <w:top w:val="single" w:sz="4" w:space="0" w:color="auto"/>
          <w:bottom w:val="single" w:sz="4" w:space="0" w:color="auto"/>
          <w:insideH w:val="single" w:sz="4" w:space="0" w:color="auto"/>
        </w:tblBorders>
        <w:tblCellMar>
          <w:left w:w="70" w:type="dxa"/>
          <w:right w:w="70" w:type="dxa"/>
        </w:tblCellMar>
        <w:tblLook w:val="04A0"/>
      </w:tblPr>
      <w:tblGrid>
        <w:gridCol w:w="3039"/>
        <w:gridCol w:w="1021"/>
        <w:gridCol w:w="1021"/>
        <w:gridCol w:w="1318"/>
        <w:gridCol w:w="1042"/>
        <w:gridCol w:w="1318"/>
        <w:gridCol w:w="1019"/>
      </w:tblGrid>
      <w:tr w:rsidR="00261A91" w:rsidTr="007D061F">
        <w:trPr>
          <w:trHeight w:val="255"/>
        </w:trPr>
        <w:tc>
          <w:tcPr>
            <w:tcW w:w="1554" w:type="pct"/>
            <w:vMerge w:val="restart"/>
            <w:shd w:val="clear" w:color="auto" w:fill="auto"/>
            <w:noWrap/>
            <w:vAlign w:val="center"/>
            <w:hideMark/>
          </w:tcPr>
          <w:p w:rsidR="00EF5560" w:rsidRDefault="00EF5560" w:rsidP="0000403D">
            <w:pPr>
              <w:spacing w:before="40" w:after="20"/>
              <w:rPr>
                <w:rFonts w:ascii="Arial Narrow" w:hAnsi="Arial Narrow" w:cs="Calibri"/>
                <w:b/>
                <w:bCs/>
                <w:color w:val="000000"/>
                <w:sz w:val="18"/>
                <w:szCs w:val="18"/>
              </w:rPr>
            </w:pPr>
            <w:r>
              <w:rPr>
                <w:rFonts w:ascii="Arial Narrow" w:hAnsi="Arial Narrow" w:cs="Calibri"/>
                <w:b/>
                <w:bCs/>
                <w:color w:val="000000"/>
                <w:sz w:val="18"/>
                <w:szCs w:val="18"/>
              </w:rPr>
              <w:t>GRADO DI ISTRUZIONE</w:t>
            </w:r>
          </w:p>
        </w:tc>
        <w:tc>
          <w:tcPr>
            <w:tcW w:w="1043" w:type="pct"/>
            <w:gridSpan w:val="2"/>
            <w:shd w:val="clear" w:color="auto" w:fill="D9D9D9"/>
            <w:noWrap/>
            <w:vAlign w:val="center"/>
            <w:hideMark/>
          </w:tcPr>
          <w:p w:rsidR="00EF5560" w:rsidRPr="00B474D4" w:rsidRDefault="00EF5560" w:rsidP="0000403D">
            <w:pPr>
              <w:spacing w:before="40" w:after="20"/>
              <w:jc w:val="center"/>
              <w:rPr>
                <w:rFonts w:ascii="Arial Narrow" w:hAnsi="Arial Narrow" w:cs="Calibri"/>
                <w:b/>
                <w:bCs/>
                <w:color w:val="000000"/>
                <w:sz w:val="18"/>
                <w:szCs w:val="18"/>
              </w:rPr>
            </w:pPr>
            <w:r w:rsidRPr="00B474D4">
              <w:rPr>
                <w:rFonts w:ascii="Arial Narrow" w:hAnsi="Arial Narrow" w:cs="Calibri"/>
                <w:b/>
                <w:bCs/>
                <w:color w:val="000000"/>
                <w:sz w:val="18"/>
                <w:szCs w:val="18"/>
              </w:rPr>
              <w:t>Anno 2019</w:t>
            </w:r>
          </w:p>
        </w:tc>
        <w:tc>
          <w:tcPr>
            <w:tcW w:w="1207" w:type="pct"/>
            <w:gridSpan w:val="2"/>
            <w:shd w:val="clear" w:color="auto" w:fill="auto"/>
            <w:noWrap/>
            <w:vAlign w:val="center"/>
            <w:hideMark/>
          </w:tcPr>
          <w:p w:rsidR="00EF5560" w:rsidRPr="00B474D4" w:rsidRDefault="00EF5560" w:rsidP="0000403D">
            <w:pPr>
              <w:spacing w:before="40" w:after="20"/>
              <w:jc w:val="center"/>
              <w:rPr>
                <w:rFonts w:ascii="Arial Narrow" w:hAnsi="Arial Narrow" w:cs="Calibri"/>
                <w:b/>
                <w:bCs/>
                <w:color w:val="000000"/>
                <w:sz w:val="18"/>
                <w:szCs w:val="18"/>
              </w:rPr>
            </w:pPr>
            <w:r w:rsidRPr="00B474D4">
              <w:rPr>
                <w:rFonts w:ascii="Arial Narrow" w:hAnsi="Arial Narrow" w:cs="Calibri"/>
                <w:b/>
                <w:bCs/>
                <w:color w:val="000000"/>
                <w:sz w:val="18"/>
                <w:szCs w:val="18"/>
              </w:rPr>
              <w:t xml:space="preserve">Anno 2018 </w:t>
            </w:r>
          </w:p>
        </w:tc>
        <w:tc>
          <w:tcPr>
            <w:tcW w:w="1196" w:type="pct"/>
            <w:gridSpan w:val="2"/>
            <w:shd w:val="clear" w:color="auto" w:fill="D9D9D9" w:themeFill="background1" w:themeFillShade="D9"/>
            <w:noWrap/>
            <w:vAlign w:val="center"/>
            <w:hideMark/>
          </w:tcPr>
          <w:p w:rsidR="00EF5560" w:rsidRPr="00B474D4" w:rsidRDefault="00EF5560" w:rsidP="0000403D">
            <w:pPr>
              <w:spacing w:before="40" w:after="20"/>
              <w:jc w:val="center"/>
              <w:rPr>
                <w:rFonts w:ascii="Arial Narrow" w:hAnsi="Arial Narrow" w:cs="Calibri"/>
                <w:b/>
                <w:bCs/>
                <w:color w:val="000000"/>
                <w:sz w:val="18"/>
                <w:szCs w:val="18"/>
              </w:rPr>
            </w:pPr>
            <w:r w:rsidRPr="00B474D4">
              <w:rPr>
                <w:rFonts w:ascii="Arial Narrow" w:hAnsi="Arial Narrow" w:cs="Calibri"/>
                <w:b/>
                <w:bCs/>
                <w:color w:val="000000"/>
                <w:sz w:val="18"/>
                <w:szCs w:val="18"/>
              </w:rPr>
              <w:t>Anno 2011</w:t>
            </w:r>
          </w:p>
        </w:tc>
      </w:tr>
      <w:tr w:rsidR="00EF5560" w:rsidTr="007D061F">
        <w:trPr>
          <w:trHeight w:val="255"/>
        </w:trPr>
        <w:tc>
          <w:tcPr>
            <w:tcW w:w="1554" w:type="pct"/>
            <w:vMerge/>
            <w:vAlign w:val="center"/>
            <w:hideMark/>
          </w:tcPr>
          <w:p w:rsidR="00EF5560" w:rsidRDefault="00EF5560" w:rsidP="0000403D">
            <w:pPr>
              <w:spacing w:before="40" w:after="20"/>
              <w:rPr>
                <w:rFonts w:ascii="Arial Narrow" w:hAnsi="Arial Narrow" w:cs="Calibri"/>
                <w:b/>
                <w:bCs/>
                <w:color w:val="000000"/>
                <w:sz w:val="18"/>
                <w:szCs w:val="18"/>
              </w:rPr>
            </w:pPr>
          </w:p>
        </w:tc>
        <w:tc>
          <w:tcPr>
            <w:tcW w:w="522" w:type="pct"/>
            <w:shd w:val="clear" w:color="auto" w:fill="auto"/>
            <w:noWrap/>
            <w:tcMar>
              <w:left w:w="28" w:type="dxa"/>
              <w:right w:w="28" w:type="dxa"/>
            </w:tcMar>
            <w:vAlign w:val="center"/>
            <w:hideMark/>
          </w:tcPr>
          <w:p w:rsidR="00EF5560" w:rsidRDefault="00935B9F" w:rsidP="0000403D">
            <w:pPr>
              <w:spacing w:before="40" w:after="20"/>
              <w:rPr>
                <w:rFonts w:ascii="Arial Narrow" w:hAnsi="Arial Narrow" w:cs="Calibri"/>
                <w:color w:val="000000"/>
                <w:sz w:val="18"/>
                <w:szCs w:val="18"/>
              </w:rPr>
            </w:pPr>
            <w:r>
              <w:rPr>
                <w:rFonts w:ascii="Arial Narrow" w:hAnsi="Arial Narrow" w:cs="Calibri"/>
                <w:color w:val="000000"/>
                <w:sz w:val="18"/>
                <w:szCs w:val="18"/>
              </w:rPr>
              <w:t>Valori assoluti</w:t>
            </w:r>
            <w:r w:rsidR="00EF5560">
              <w:rPr>
                <w:rFonts w:ascii="Arial Narrow" w:hAnsi="Arial Narrow" w:cs="Calibri"/>
                <w:color w:val="000000"/>
                <w:sz w:val="18"/>
                <w:szCs w:val="18"/>
              </w:rPr>
              <w:t>.</w:t>
            </w:r>
          </w:p>
        </w:tc>
        <w:tc>
          <w:tcPr>
            <w:tcW w:w="522" w:type="pct"/>
            <w:shd w:val="clear" w:color="auto" w:fill="auto"/>
            <w:noWrap/>
            <w:tcMar>
              <w:left w:w="28" w:type="dxa"/>
              <w:right w:w="28" w:type="dxa"/>
            </w:tcMar>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w:t>
            </w:r>
          </w:p>
        </w:tc>
        <w:tc>
          <w:tcPr>
            <w:tcW w:w="674" w:type="pct"/>
            <w:shd w:val="clear" w:color="auto" w:fill="auto"/>
            <w:noWrap/>
            <w:tcMar>
              <w:left w:w="28" w:type="dxa"/>
              <w:right w:w="28" w:type="dxa"/>
            </w:tcMar>
            <w:vAlign w:val="center"/>
            <w:hideMark/>
          </w:tcPr>
          <w:p w:rsidR="00EF5560" w:rsidRDefault="00935B9F"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Valori assoluti.</w:t>
            </w:r>
          </w:p>
        </w:tc>
        <w:tc>
          <w:tcPr>
            <w:tcW w:w="533" w:type="pct"/>
            <w:shd w:val="clear" w:color="auto" w:fill="auto"/>
            <w:noWrap/>
            <w:tcMar>
              <w:left w:w="28" w:type="dxa"/>
              <w:right w:w="28" w:type="dxa"/>
            </w:tcMar>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w:t>
            </w:r>
          </w:p>
        </w:tc>
        <w:tc>
          <w:tcPr>
            <w:tcW w:w="674" w:type="pct"/>
            <w:shd w:val="clear" w:color="auto" w:fill="auto"/>
            <w:noWrap/>
            <w:tcMar>
              <w:left w:w="28" w:type="dxa"/>
              <w:right w:w="28" w:type="dxa"/>
            </w:tcMar>
            <w:vAlign w:val="center"/>
            <w:hideMark/>
          </w:tcPr>
          <w:p w:rsidR="00EF5560" w:rsidRDefault="00935B9F"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Valori assoluti.</w:t>
            </w:r>
          </w:p>
        </w:tc>
        <w:tc>
          <w:tcPr>
            <w:tcW w:w="522" w:type="pct"/>
            <w:shd w:val="clear" w:color="auto" w:fill="auto"/>
            <w:noWrap/>
            <w:tcMar>
              <w:left w:w="28" w:type="dxa"/>
              <w:right w:w="28" w:type="dxa"/>
            </w:tcMar>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w:t>
            </w:r>
          </w:p>
        </w:tc>
      </w:tr>
      <w:tr w:rsidR="00261A91" w:rsidTr="007D061F">
        <w:trPr>
          <w:trHeight w:val="255"/>
        </w:trPr>
        <w:tc>
          <w:tcPr>
            <w:tcW w:w="1554" w:type="pct"/>
            <w:shd w:val="clear" w:color="auto" w:fill="auto"/>
            <w:noWrap/>
            <w:vAlign w:val="center"/>
            <w:hideMark/>
          </w:tcPr>
          <w:p w:rsidR="00EF5560" w:rsidRDefault="00EF5560" w:rsidP="0000403D">
            <w:pPr>
              <w:spacing w:before="40" w:after="20"/>
              <w:rPr>
                <w:rFonts w:ascii="Arial Narrow" w:hAnsi="Arial Narrow" w:cs="Calibri"/>
                <w:b/>
                <w:bCs/>
                <w:color w:val="000000"/>
                <w:sz w:val="18"/>
                <w:szCs w:val="18"/>
              </w:rPr>
            </w:pPr>
            <w:r>
              <w:rPr>
                <w:rFonts w:ascii="Arial Narrow" w:hAnsi="Arial Narrow" w:cs="Calibri"/>
                <w:b/>
                <w:bCs/>
                <w:color w:val="000000"/>
                <w:sz w:val="18"/>
                <w:szCs w:val="18"/>
              </w:rPr>
              <w:t>Fino asecondari</w:t>
            </w:r>
            <w:r w:rsidR="00B474D4">
              <w:rPr>
                <w:rFonts w:ascii="Arial Narrow" w:hAnsi="Arial Narrow" w:cs="Calibri"/>
                <w:b/>
                <w:bCs/>
                <w:color w:val="000000"/>
                <w:sz w:val="18"/>
                <w:szCs w:val="18"/>
              </w:rPr>
              <w:t>o</w:t>
            </w:r>
            <w:r>
              <w:rPr>
                <w:rFonts w:ascii="Arial Narrow" w:hAnsi="Arial Narrow" w:cs="Calibri"/>
                <w:b/>
                <w:bCs/>
                <w:color w:val="000000"/>
                <w:sz w:val="18"/>
                <w:szCs w:val="18"/>
              </w:rPr>
              <w:t xml:space="preserve"> I grado</w:t>
            </w:r>
          </w:p>
        </w:tc>
        <w:tc>
          <w:tcPr>
            <w:tcW w:w="522" w:type="pct"/>
            <w:shd w:val="clear" w:color="000000" w:fill="D9D9D9"/>
            <w:noWrap/>
            <w:vAlign w:val="center"/>
            <w:hideMark/>
          </w:tcPr>
          <w:p w:rsidR="00EF5560" w:rsidRDefault="00EF5560" w:rsidP="0000403D">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264.767</w:t>
            </w:r>
          </w:p>
        </w:tc>
        <w:tc>
          <w:tcPr>
            <w:tcW w:w="522" w:type="pct"/>
            <w:shd w:val="clear" w:color="auto" w:fill="auto"/>
            <w:vAlign w:val="center"/>
            <w:hideMark/>
          </w:tcPr>
          <w:p w:rsidR="00EF5560" w:rsidRDefault="00EF5560" w:rsidP="0000403D">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51,2</w:t>
            </w:r>
          </w:p>
        </w:tc>
        <w:tc>
          <w:tcPr>
            <w:tcW w:w="674" w:type="pct"/>
            <w:shd w:val="clear" w:color="000000" w:fill="D9D9D9"/>
            <w:noWrap/>
            <w:vAlign w:val="center"/>
            <w:hideMark/>
          </w:tcPr>
          <w:p w:rsidR="00EF5560" w:rsidRDefault="00EF5560" w:rsidP="0000403D">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272.069</w:t>
            </w:r>
          </w:p>
        </w:tc>
        <w:tc>
          <w:tcPr>
            <w:tcW w:w="533" w:type="pct"/>
            <w:shd w:val="clear" w:color="auto" w:fill="auto"/>
            <w:vAlign w:val="center"/>
            <w:hideMark/>
          </w:tcPr>
          <w:p w:rsidR="00EF5560" w:rsidRDefault="00EF5560" w:rsidP="0000403D">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52,2</w:t>
            </w:r>
          </w:p>
        </w:tc>
        <w:tc>
          <w:tcPr>
            <w:tcW w:w="674" w:type="pct"/>
            <w:shd w:val="clear" w:color="000000" w:fill="D9D9D9"/>
            <w:noWrap/>
            <w:vAlign w:val="center"/>
            <w:hideMark/>
          </w:tcPr>
          <w:p w:rsidR="00EF5560" w:rsidRDefault="00EF5560" w:rsidP="0000403D">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313.140</w:t>
            </w:r>
          </w:p>
        </w:tc>
        <w:tc>
          <w:tcPr>
            <w:tcW w:w="522" w:type="pct"/>
            <w:shd w:val="clear" w:color="auto" w:fill="auto"/>
            <w:vAlign w:val="center"/>
            <w:hideMark/>
          </w:tcPr>
          <w:p w:rsidR="00EF5560" w:rsidRDefault="00EF5560" w:rsidP="0000403D">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58,6</w:t>
            </w:r>
          </w:p>
        </w:tc>
      </w:tr>
      <w:tr w:rsidR="00261A91" w:rsidTr="007D061F">
        <w:trPr>
          <w:trHeight w:val="255"/>
        </w:trPr>
        <w:tc>
          <w:tcPr>
            <w:tcW w:w="1554" w:type="pct"/>
            <w:shd w:val="clear" w:color="auto" w:fill="auto"/>
            <w:noWrap/>
            <w:vAlign w:val="center"/>
            <w:hideMark/>
          </w:tcPr>
          <w:p w:rsidR="00EF5560" w:rsidRDefault="00EF5560" w:rsidP="0000403D">
            <w:pPr>
              <w:spacing w:before="40" w:after="20"/>
              <w:ind w:firstLineChars="100" w:firstLine="180"/>
              <w:rPr>
                <w:rFonts w:ascii="Arial Narrow" w:hAnsi="Arial Narrow" w:cs="Calibri"/>
                <w:color w:val="000000"/>
                <w:sz w:val="18"/>
                <w:szCs w:val="18"/>
              </w:rPr>
            </w:pPr>
            <w:r>
              <w:rPr>
                <w:rFonts w:ascii="Arial Narrow" w:hAnsi="Arial Narrow" w:cs="Calibri"/>
                <w:color w:val="000000"/>
                <w:sz w:val="18"/>
                <w:szCs w:val="18"/>
              </w:rPr>
              <w:t>Analfabeti</w:t>
            </w:r>
          </w:p>
        </w:tc>
        <w:tc>
          <w:tcPr>
            <w:tcW w:w="522" w:type="pct"/>
            <w:shd w:val="clear" w:color="000000" w:fill="D9D9D9"/>
            <w:noWrap/>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7.368</w:t>
            </w:r>
          </w:p>
        </w:tc>
        <w:tc>
          <w:tcPr>
            <w:tcW w:w="522" w:type="pct"/>
            <w:shd w:val="clear" w:color="auto" w:fill="auto"/>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1,4</w:t>
            </w:r>
          </w:p>
        </w:tc>
        <w:tc>
          <w:tcPr>
            <w:tcW w:w="674" w:type="pct"/>
            <w:shd w:val="clear" w:color="000000" w:fill="D9D9D9"/>
            <w:noWrap/>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7.989</w:t>
            </w:r>
          </w:p>
        </w:tc>
        <w:tc>
          <w:tcPr>
            <w:tcW w:w="533" w:type="pct"/>
            <w:shd w:val="clear" w:color="auto" w:fill="auto"/>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1,5</w:t>
            </w:r>
          </w:p>
        </w:tc>
        <w:tc>
          <w:tcPr>
            <w:tcW w:w="674" w:type="pct"/>
            <w:shd w:val="clear" w:color="000000" w:fill="D9D9D9"/>
            <w:noWrap/>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15.032</w:t>
            </w:r>
          </w:p>
        </w:tc>
        <w:tc>
          <w:tcPr>
            <w:tcW w:w="522" w:type="pct"/>
            <w:shd w:val="clear" w:color="auto" w:fill="auto"/>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2,8</w:t>
            </w:r>
          </w:p>
        </w:tc>
      </w:tr>
      <w:tr w:rsidR="00261A91" w:rsidTr="007D061F">
        <w:trPr>
          <w:trHeight w:val="255"/>
        </w:trPr>
        <w:tc>
          <w:tcPr>
            <w:tcW w:w="1554" w:type="pct"/>
            <w:shd w:val="clear" w:color="auto" w:fill="auto"/>
            <w:noWrap/>
            <w:vAlign w:val="center"/>
            <w:hideMark/>
          </w:tcPr>
          <w:p w:rsidR="00EF5560" w:rsidRDefault="00D5536E" w:rsidP="0000403D">
            <w:pPr>
              <w:spacing w:before="40" w:after="20"/>
              <w:ind w:firstLineChars="100" w:firstLine="180"/>
              <w:rPr>
                <w:rFonts w:ascii="Arial Narrow" w:hAnsi="Arial Narrow" w:cs="Calibri"/>
                <w:color w:val="000000"/>
                <w:sz w:val="18"/>
                <w:szCs w:val="18"/>
              </w:rPr>
            </w:pPr>
            <w:r>
              <w:rPr>
                <w:rFonts w:ascii="Arial Narrow" w:hAnsi="Arial Narrow" w:cs="Calibri"/>
                <w:color w:val="000000"/>
                <w:sz w:val="18"/>
                <w:szCs w:val="18"/>
              </w:rPr>
              <w:t>Alfabeti</w:t>
            </w:r>
            <w:r w:rsidR="00EF5560">
              <w:rPr>
                <w:rFonts w:ascii="Arial Narrow" w:hAnsi="Arial Narrow" w:cs="Calibri"/>
                <w:color w:val="000000"/>
                <w:sz w:val="18"/>
                <w:szCs w:val="18"/>
              </w:rPr>
              <w:t xml:space="preserve"> privi di titolo di studio</w:t>
            </w:r>
          </w:p>
        </w:tc>
        <w:tc>
          <w:tcPr>
            <w:tcW w:w="522" w:type="pct"/>
            <w:shd w:val="clear" w:color="000000" w:fill="D9D9D9"/>
            <w:noWrap/>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27.487</w:t>
            </w:r>
          </w:p>
        </w:tc>
        <w:tc>
          <w:tcPr>
            <w:tcW w:w="522" w:type="pct"/>
            <w:shd w:val="clear" w:color="auto" w:fill="auto"/>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5,3</w:t>
            </w:r>
          </w:p>
        </w:tc>
        <w:tc>
          <w:tcPr>
            <w:tcW w:w="674" w:type="pct"/>
            <w:shd w:val="clear" w:color="000000" w:fill="D9D9D9"/>
            <w:noWrap/>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29.404</w:t>
            </w:r>
          </w:p>
        </w:tc>
        <w:tc>
          <w:tcPr>
            <w:tcW w:w="533" w:type="pct"/>
            <w:shd w:val="clear" w:color="auto" w:fill="auto"/>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5,6</w:t>
            </w:r>
          </w:p>
        </w:tc>
        <w:tc>
          <w:tcPr>
            <w:tcW w:w="674" w:type="pct"/>
            <w:shd w:val="clear" w:color="000000" w:fill="D9D9D9"/>
            <w:noWrap/>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40.349</w:t>
            </w:r>
          </w:p>
        </w:tc>
        <w:tc>
          <w:tcPr>
            <w:tcW w:w="522" w:type="pct"/>
            <w:shd w:val="clear" w:color="auto" w:fill="auto"/>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7,5</w:t>
            </w:r>
          </w:p>
        </w:tc>
      </w:tr>
      <w:tr w:rsidR="00261A91" w:rsidTr="007D061F">
        <w:trPr>
          <w:trHeight w:val="255"/>
        </w:trPr>
        <w:tc>
          <w:tcPr>
            <w:tcW w:w="1554" w:type="pct"/>
            <w:shd w:val="clear" w:color="auto" w:fill="auto"/>
            <w:noWrap/>
            <w:vAlign w:val="center"/>
            <w:hideMark/>
          </w:tcPr>
          <w:p w:rsidR="00EF5560" w:rsidRDefault="00EF5560" w:rsidP="0000403D">
            <w:pPr>
              <w:spacing w:before="40" w:after="20"/>
              <w:ind w:firstLineChars="100" w:firstLine="180"/>
              <w:rPr>
                <w:rFonts w:ascii="Arial Narrow" w:hAnsi="Arial Narrow" w:cs="Calibri"/>
                <w:color w:val="000000"/>
                <w:sz w:val="18"/>
                <w:szCs w:val="18"/>
              </w:rPr>
            </w:pPr>
            <w:r>
              <w:rPr>
                <w:rFonts w:ascii="Arial Narrow" w:hAnsi="Arial Narrow" w:cs="Calibri"/>
                <w:color w:val="000000"/>
                <w:sz w:val="18"/>
                <w:szCs w:val="18"/>
              </w:rPr>
              <w:t>Licenza di scuola elementare</w:t>
            </w:r>
          </w:p>
        </w:tc>
        <w:tc>
          <w:tcPr>
            <w:tcW w:w="522" w:type="pct"/>
            <w:shd w:val="clear" w:color="000000" w:fill="D9D9D9"/>
            <w:noWrap/>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84.288</w:t>
            </w:r>
          </w:p>
        </w:tc>
        <w:tc>
          <w:tcPr>
            <w:tcW w:w="522" w:type="pct"/>
            <w:shd w:val="clear" w:color="auto" w:fill="auto"/>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16,3</w:t>
            </w:r>
          </w:p>
        </w:tc>
        <w:tc>
          <w:tcPr>
            <w:tcW w:w="674" w:type="pct"/>
            <w:shd w:val="clear" w:color="000000" w:fill="D9D9D9"/>
            <w:noWrap/>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89.641</w:t>
            </w:r>
          </w:p>
        </w:tc>
        <w:tc>
          <w:tcPr>
            <w:tcW w:w="533" w:type="pct"/>
            <w:shd w:val="clear" w:color="auto" w:fill="auto"/>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17,2</w:t>
            </w:r>
          </w:p>
        </w:tc>
        <w:tc>
          <w:tcPr>
            <w:tcW w:w="674" w:type="pct"/>
            <w:shd w:val="clear" w:color="000000" w:fill="D9D9D9"/>
            <w:noWrap/>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106.757</w:t>
            </w:r>
          </w:p>
        </w:tc>
        <w:tc>
          <w:tcPr>
            <w:tcW w:w="522" w:type="pct"/>
            <w:shd w:val="clear" w:color="auto" w:fill="auto"/>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20,0</w:t>
            </w:r>
          </w:p>
        </w:tc>
      </w:tr>
      <w:tr w:rsidR="00261A91" w:rsidTr="007D061F">
        <w:trPr>
          <w:trHeight w:val="255"/>
        </w:trPr>
        <w:tc>
          <w:tcPr>
            <w:tcW w:w="1554" w:type="pct"/>
            <w:shd w:val="clear" w:color="auto" w:fill="auto"/>
            <w:noWrap/>
            <w:vAlign w:val="center"/>
            <w:hideMark/>
          </w:tcPr>
          <w:p w:rsidR="00EF5560" w:rsidRDefault="00EF5560" w:rsidP="0000403D">
            <w:pPr>
              <w:spacing w:before="40" w:after="20"/>
              <w:ind w:firstLineChars="100" w:firstLine="180"/>
              <w:rPr>
                <w:rFonts w:ascii="Arial Narrow" w:hAnsi="Arial Narrow" w:cs="Calibri"/>
                <w:color w:val="000000"/>
                <w:sz w:val="18"/>
                <w:szCs w:val="18"/>
              </w:rPr>
            </w:pPr>
            <w:r>
              <w:rPr>
                <w:rFonts w:ascii="Arial Narrow" w:hAnsi="Arial Narrow" w:cs="Calibri"/>
                <w:color w:val="000000"/>
                <w:sz w:val="18"/>
                <w:szCs w:val="18"/>
              </w:rPr>
              <w:t>Licenza di scuola media</w:t>
            </w:r>
          </w:p>
        </w:tc>
        <w:tc>
          <w:tcPr>
            <w:tcW w:w="522" w:type="pct"/>
            <w:shd w:val="clear" w:color="000000" w:fill="D9D9D9"/>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145.624</w:t>
            </w:r>
          </w:p>
        </w:tc>
        <w:tc>
          <w:tcPr>
            <w:tcW w:w="522" w:type="pct"/>
            <w:shd w:val="clear" w:color="auto" w:fill="auto"/>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28,2</w:t>
            </w:r>
          </w:p>
        </w:tc>
        <w:tc>
          <w:tcPr>
            <w:tcW w:w="674" w:type="pct"/>
            <w:shd w:val="clear" w:color="000000" w:fill="D9D9D9"/>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145.035</w:t>
            </w:r>
          </w:p>
        </w:tc>
        <w:tc>
          <w:tcPr>
            <w:tcW w:w="533" w:type="pct"/>
            <w:shd w:val="clear" w:color="auto" w:fill="auto"/>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27,8</w:t>
            </w:r>
          </w:p>
        </w:tc>
        <w:tc>
          <w:tcPr>
            <w:tcW w:w="674" w:type="pct"/>
            <w:shd w:val="clear" w:color="000000" w:fill="D9D9D9"/>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151.002</w:t>
            </w:r>
          </w:p>
        </w:tc>
        <w:tc>
          <w:tcPr>
            <w:tcW w:w="522" w:type="pct"/>
            <w:shd w:val="clear" w:color="auto" w:fill="auto"/>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28,3</w:t>
            </w:r>
          </w:p>
        </w:tc>
      </w:tr>
      <w:tr w:rsidR="00261A91" w:rsidTr="007D061F">
        <w:trPr>
          <w:trHeight w:val="255"/>
        </w:trPr>
        <w:tc>
          <w:tcPr>
            <w:tcW w:w="1554" w:type="pct"/>
            <w:shd w:val="clear" w:color="auto" w:fill="auto"/>
            <w:noWrap/>
            <w:vAlign w:val="center"/>
            <w:hideMark/>
          </w:tcPr>
          <w:p w:rsidR="00EF5560" w:rsidRDefault="00EF5560" w:rsidP="0000403D">
            <w:pPr>
              <w:spacing w:before="40" w:after="20"/>
              <w:rPr>
                <w:rFonts w:ascii="Arial Narrow" w:hAnsi="Arial Narrow" w:cs="Calibri"/>
                <w:b/>
                <w:bCs/>
                <w:color w:val="000000"/>
                <w:sz w:val="18"/>
                <w:szCs w:val="18"/>
              </w:rPr>
            </w:pPr>
            <w:r>
              <w:rPr>
                <w:rFonts w:ascii="Arial Narrow" w:hAnsi="Arial Narrow" w:cs="Calibri"/>
                <w:b/>
                <w:bCs/>
                <w:color w:val="000000"/>
                <w:sz w:val="18"/>
                <w:szCs w:val="18"/>
              </w:rPr>
              <w:t>Secondari</w:t>
            </w:r>
            <w:r w:rsidR="00B474D4">
              <w:rPr>
                <w:rFonts w:ascii="Arial Narrow" w:hAnsi="Arial Narrow" w:cs="Calibri"/>
                <w:b/>
                <w:bCs/>
                <w:color w:val="000000"/>
                <w:sz w:val="18"/>
                <w:szCs w:val="18"/>
              </w:rPr>
              <w:t>o II grado</w:t>
            </w:r>
          </w:p>
        </w:tc>
        <w:tc>
          <w:tcPr>
            <w:tcW w:w="522" w:type="pct"/>
            <w:shd w:val="clear" w:color="000000" w:fill="D9D9D9"/>
            <w:noWrap/>
            <w:vAlign w:val="center"/>
            <w:hideMark/>
          </w:tcPr>
          <w:p w:rsidR="00EF5560" w:rsidRDefault="00EF5560" w:rsidP="0000403D">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182.743</w:t>
            </w:r>
          </w:p>
        </w:tc>
        <w:tc>
          <w:tcPr>
            <w:tcW w:w="522" w:type="pct"/>
            <w:shd w:val="clear" w:color="auto" w:fill="auto"/>
            <w:vAlign w:val="center"/>
            <w:hideMark/>
          </w:tcPr>
          <w:p w:rsidR="00EF5560" w:rsidRDefault="00EF5560" w:rsidP="0000403D">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35,3</w:t>
            </w:r>
          </w:p>
        </w:tc>
        <w:tc>
          <w:tcPr>
            <w:tcW w:w="674" w:type="pct"/>
            <w:shd w:val="clear" w:color="000000" w:fill="D9D9D9"/>
            <w:noWrap/>
            <w:vAlign w:val="center"/>
            <w:hideMark/>
          </w:tcPr>
          <w:p w:rsidR="00EF5560" w:rsidRDefault="00EF5560" w:rsidP="0000403D">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180.878</w:t>
            </w:r>
          </w:p>
        </w:tc>
        <w:tc>
          <w:tcPr>
            <w:tcW w:w="533" w:type="pct"/>
            <w:shd w:val="clear" w:color="auto" w:fill="auto"/>
            <w:vAlign w:val="center"/>
            <w:hideMark/>
          </w:tcPr>
          <w:p w:rsidR="00EF5560" w:rsidRDefault="00EF5560" w:rsidP="0000403D">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34,7</w:t>
            </w:r>
          </w:p>
        </w:tc>
        <w:tc>
          <w:tcPr>
            <w:tcW w:w="674" w:type="pct"/>
            <w:shd w:val="clear" w:color="000000" w:fill="D9D9D9"/>
            <w:noWrap/>
            <w:vAlign w:val="center"/>
            <w:hideMark/>
          </w:tcPr>
          <w:p w:rsidR="00EF5560" w:rsidRDefault="00EF5560" w:rsidP="0000403D">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164.877</w:t>
            </w:r>
          </w:p>
        </w:tc>
        <w:tc>
          <w:tcPr>
            <w:tcW w:w="522" w:type="pct"/>
            <w:shd w:val="clear" w:color="auto" w:fill="auto"/>
            <w:vAlign w:val="center"/>
            <w:hideMark/>
          </w:tcPr>
          <w:p w:rsidR="00EF5560" w:rsidRDefault="00EF5560" w:rsidP="0000403D">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30,8</w:t>
            </w:r>
          </w:p>
        </w:tc>
      </w:tr>
      <w:tr w:rsidR="00261A91" w:rsidTr="007D061F">
        <w:trPr>
          <w:trHeight w:val="255"/>
        </w:trPr>
        <w:tc>
          <w:tcPr>
            <w:tcW w:w="1554" w:type="pct"/>
            <w:shd w:val="clear" w:color="auto" w:fill="auto"/>
            <w:noWrap/>
            <w:vAlign w:val="center"/>
            <w:hideMark/>
          </w:tcPr>
          <w:p w:rsidR="00EF5560" w:rsidRDefault="00EF5560" w:rsidP="0000403D">
            <w:pPr>
              <w:spacing w:before="40" w:after="20"/>
              <w:rPr>
                <w:rFonts w:ascii="Arial Narrow" w:hAnsi="Arial Narrow" w:cs="Calibri"/>
                <w:b/>
                <w:bCs/>
                <w:color w:val="000000"/>
                <w:sz w:val="18"/>
                <w:szCs w:val="18"/>
              </w:rPr>
            </w:pPr>
            <w:r>
              <w:rPr>
                <w:rFonts w:ascii="Arial Narrow" w:hAnsi="Arial Narrow" w:cs="Calibri"/>
                <w:b/>
                <w:bCs/>
                <w:color w:val="000000"/>
                <w:sz w:val="18"/>
                <w:szCs w:val="18"/>
              </w:rPr>
              <w:t>Terziari</w:t>
            </w:r>
            <w:r w:rsidR="00B474D4">
              <w:rPr>
                <w:rFonts w:ascii="Arial Narrow" w:hAnsi="Arial Narrow" w:cs="Calibri"/>
                <w:b/>
                <w:bCs/>
                <w:color w:val="000000"/>
                <w:sz w:val="18"/>
                <w:szCs w:val="18"/>
              </w:rPr>
              <w:t>o e superiore</w:t>
            </w:r>
          </w:p>
        </w:tc>
        <w:tc>
          <w:tcPr>
            <w:tcW w:w="522" w:type="pct"/>
            <w:shd w:val="clear" w:color="000000" w:fill="D9D9D9"/>
            <w:noWrap/>
            <w:vAlign w:val="center"/>
            <w:hideMark/>
          </w:tcPr>
          <w:p w:rsidR="00EF5560" w:rsidRDefault="00EF5560" w:rsidP="0000403D">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69.762</w:t>
            </w:r>
          </w:p>
        </w:tc>
        <w:tc>
          <w:tcPr>
            <w:tcW w:w="522" w:type="pct"/>
            <w:shd w:val="clear" w:color="auto" w:fill="auto"/>
            <w:vAlign w:val="center"/>
            <w:hideMark/>
          </w:tcPr>
          <w:p w:rsidR="00EF5560" w:rsidRDefault="00EF5560" w:rsidP="0000403D">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13,5</w:t>
            </w:r>
          </w:p>
        </w:tc>
        <w:tc>
          <w:tcPr>
            <w:tcW w:w="674" w:type="pct"/>
            <w:shd w:val="clear" w:color="000000" w:fill="D9D9D9"/>
            <w:noWrap/>
            <w:vAlign w:val="center"/>
            <w:hideMark/>
          </w:tcPr>
          <w:p w:rsidR="00EF5560" w:rsidRDefault="00EF5560" w:rsidP="0000403D">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68.737</w:t>
            </w:r>
          </w:p>
        </w:tc>
        <w:tc>
          <w:tcPr>
            <w:tcW w:w="533" w:type="pct"/>
            <w:shd w:val="clear" w:color="auto" w:fill="auto"/>
            <w:vAlign w:val="center"/>
            <w:hideMark/>
          </w:tcPr>
          <w:p w:rsidR="00EF5560" w:rsidRDefault="00EF5560" w:rsidP="0000403D">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13,2</w:t>
            </w:r>
          </w:p>
        </w:tc>
        <w:tc>
          <w:tcPr>
            <w:tcW w:w="674" w:type="pct"/>
            <w:shd w:val="clear" w:color="000000" w:fill="D9D9D9"/>
            <w:noWrap/>
            <w:vAlign w:val="center"/>
            <w:hideMark/>
          </w:tcPr>
          <w:p w:rsidR="00EF5560" w:rsidRDefault="00EF5560" w:rsidP="0000403D">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56.480</w:t>
            </w:r>
          </w:p>
        </w:tc>
        <w:tc>
          <w:tcPr>
            <w:tcW w:w="522" w:type="pct"/>
            <w:shd w:val="clear" w:color="auto" w:fill="auto"/>
            <w:vAlign w:val="center"/>
            <w:hideMark/>
          </w:tcPr>
          <w:p w:rsidR="00EF5560" w:rsidRDefault="00EF5560" w:rsidP="0000403D">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10,6</w:t>
            </w:r>
          </w:p>
        </w:tc>
      </w:tr>
      <w:tr w:rsidR="00261A91" w:rsidTr="007D061F">
        <w:trPr>
          <w:trHeight w:val="255"/>
        </w:trPr>
        <w:tc>
          <w:tcPr>
            <w:tcW w:w="1554" w:type="pct"/>
            <w:shd w:val="clear" w:color="auto" w:fill="auto"/>
            <w:noWrap/>
            <w:vAlign w:val="center"/>
            <w:hideMark/>
          </w:tcPr>
          <w:p w:rsidR="00EF5560" w:rsidRDefault="00EF5560" w:rsidP="0000403D">
            <w:pPr>
              <w:spacing w:before="40" w:after="20"/>
              <w:ind w:firstLineChars="100" w:firstLine="180"/>
              <w:rPr>
                <w:rFonts w:ascii="Arial Narrow" w:hAnsi="Arial Narrow" w:cs="Calibri"/>
                <w:color w:val="000000"/>
                <w:sz w:val="18"/>
                <w:szCs w:val="18"/>
              </w:rPr>
            </w:pPr>
            <w:r>
              <w:rPr>
                <w:rFonts w:ascii="Arial Narrow" w:hAnsi="Arial Narrow" w:cs="Calibri"/>
                <w:color w:val="000000"/>
                <w:sz w:val="18"/>
                <w:szCs w:val="18"/>
              </w:rPr>
              <w:t>Terziari</w:t>
            </w:r>
            <w:r w:rsidR="00935B9F">
              <w:rPr>
                <w:rFonts w:ascii="Arial Narrow" w:hAnsi="Arial Narrow" w:cs="Calibri"/>
                <w:color w:val="000000"/>
                <w:sz w:val="18"/>
                <w:szCs w:val="18"/>
              </w:rPr>
              <w:t>o</w:t>
            </w:r>
            <w:r>
              <w:rPr>
                <w:rFonts w:ascii="Arial Narrow" w:hAnsi="Arial Narrow" w:cs="Calibri"/>
                <w:color w:val="000000"/>
                <w:sz w:val="18"/>
                <w:szCs w:val="18"/>
              </w:rPr>
              <w:t xml:space="preserve"> I livello</w:t>
            </w:r>
          </w:p>
        </w:tc>
        <w:tc>
          <w:tcPr>
            <w:tcW w:w="522" w:type="pct"/>
            <w:shd w:val="clear" w:color="000000" w:fill="D9D9D9"/>
            <w:noWrap/>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19.539</w:t>
            </w:r>
          </w:p>
        </w:tc>
        <w:tc>
          <w:tcPr>
            <w:tcW w:w="522" w:type="pct"/>
            <w:shd w:val="clear" w:color="auto" w:fill="auto"/>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3,8</w:t>
            </w:r>
          </w:p>
        </w:tc>
        <w:tc>
          <w:tcPr>
            <w:tcW w:w="674" w:type="pct"/>
            <w:shd w:val="clear" w:color="000000" w:fill="D9D9D9"/>
            <w:noWrap/>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18.273</w:t>
            </w:r>
          </w:p>
        </w:tc>
        <w:tc>
          <w:tcPr>
            <w:tcW w:w="533" w:type="pct"/>
            <w:shd w:val="clear" w:color="auto" w:fill="auto"/>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3,5</w:t>
            </w:r>
          </w:p>
        </w:tc>
        <w:tc>
          <w:tcPr>
            <w:tcW w:w="674" w:type="pct"/>
            <w:shd w:val="clear" w:color="000000" w:fill="D9D9D9"/>
            <w:noWrap/>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14.008</w:t>
            </w:r>
          </w:p>
        </w:tc>
        <w:tc>
          <w:tcPr>
            <w:tcW w:w="522" w:type="pct"/>
            <w:shd w:val="clear" w:color="auto" w:fill="auto"/>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2,6</w:t>
            </w:r>
          </w:p>
        </w:tc>
      </w:tr>
      <w:tr w:rsidR="00261A91" w:rsidTr="007D061F">
        <w:trPr>
          <w:trHeight w:val="255"/>
        </w:trPr>
        <w:tc>
          <w:tcPr>
            <w:tcW w:w="1554" w:type="pct"/>
            <w:shd w:val="clear" w:color="auto" w:fill="auto"/>
            <w:noWrap/>
            <w:vAlign w:val="center"/>
            <w:hideMark/>
          </w:tcPr>
          <w:p w:rsidR="00EF5560" w:rsidRDefault="00EF5560" w:rsidP="0000403D">
            <w:pPr>
              <w:spacing w:before="40" w:after="20"/>
              <w:ind w:firstLineChars="100" w:firstLine="180"/>
              <w:rPr>
                <w:rFonts w:ascii="Arial Narrow" w:hAnsi="Arial Narrow" w:cs="Calibri"/>
                <w:color w:val="000000"/>
                <w:sz w:val="18"/>
                <w:szCs w:val="18"/>
              </w:rPr>
            </w:pPr>
            <w:r>
              <w:rPr>
                <w:rFonts w:ascii="Arial Narrow" w:hAnsi="Arial Narrow" w:cs="Calibri"/>
                <w:color w:val="000000"/>
                <w:sz w:val="18"/>
                <w:szCs w:val="18"/>
              </w:rPr>
              <w:t>Terziari</w:t>
            </w:r>
            <w:r w:rsidR="00935B9F">
              <w:rPr>
                <w:rFonts w:ascii="Arial Narrow" w:hAnsi="Arial Narrow" w:cs="Calibri"/>
                <w:color w:val="000000"/>
                <w:sz w:val="18"/>
                <w:szCs w:val="18"/>
              </w:rPr>
              <w:t>o</w:t>
            </w:r>
            <w:r>
              <w:rPr>
                <w:rFonts w:ascii="Arial Narrow" w:hAnsi="Arial Narrow" w:cs="Calibri"/>
                <w:color w:val="000000"/>
                <w:sz w:val="18"/>
                <w:szCs w:val="18"/>
              </w:rPr>
              <w:t xml:space="preserve"> II livello</w:t>
            </w:r>
          </w:p>
        </w:tc>
        <w:tc>
          <w:tcPr>
            <w:tcW w:w="522" w:type="pct"/>
            <w:shd w:val="clear" w:color="000000" w:fill="D9D9D9"/>
            <w:noWrap/>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48.797</w:t>
            </w:r>
          </w:p>
        </w:tc>
        <w:tc>
          <w:tcPr>
            <w:tcW w:w="522" w:type="pct"/>
            <w:shd w:val="clear" w:color="auto" w:fill="auto"/>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9,4</w:t>
            </w:r>
          </w:p>
        </w:tc>
        <w:tc>
          <w:tcPr>
            <w:tcW w:w="674" w:type="pct"/>
            <w:shd w:val="clear" w:color="000000" w:fill="D9D9D9"/>
            <w:noWrap/>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48.797</w:t>
            </w:r>
          </w:p>
        </w:tc>
        <w:tc>
          <w:tcPr>
            <w:tcW w:w="533" w:type="pct"/>
            <w:shd w:val="clear" w:color="auto" w:fill="auto"/>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9,4</w:t>
            </w:r>
          </w:p>
        </w:tc>
        <w:tc>
          <w:tcPr>
            <w:tcW w:w="674" w:type="pct"/>
            <w:shd w:val="clear" w:color="000000" w:fill="D9D9D9"/>
            <w:noWrap/>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41.115</w:t>
            </w:r>
          </w:p>
        </w:tc>
        <w:tc>
          <w:tcPr>
            <w:tcW w:w="522" w:type="pct"/>
            <w:shd w:val="clear" w:color="auto" w:fill="auto"/>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7,7</w:t>
            </w:r>
          </w:p>
        </w:tc>
      </w:tr>
      <w:tr w:rsidR="00261A91" w:rsidTr="007D061F">
        <w:trPr>
          <w:trHeight w:val="255"/>
        </w:trPr>
        <w:tc>
          <w:tcPr>
            <w:tcW w:w="1554" w:type="pct"/>
            <w:shd w:val="clear" w:color="auto" w:fill="auto"/>
            <w:noWrap/>
            <w:vAlign w:val="center"/>
            <w:hideMark/>
          </w:tcPr>
          <w:p w:rsidR="00EF5560" w:rsidRDefault="00EF5560" w:rsidP="0000403D">
            <w:pPr>
              <w:spacing w:before="40" w:after="20"/>
              <w:ind w:firstLineChars="100" w:firstLine="180"/>
              <w:rPr>
                <w:rFonts w:ascii="Arial Narrow" w:hAnsi="Arial Narrow" w:cs="Calibri"/>
                <w:color w:val="000000"/>
                <w:sz w:val="18"/>
                <w:szCs w:val="18"/>
              </w:rPr>
            </w:pPr>
            <w:r>
              <w:rPr>
                <w:rFonts w:ascii="Arial Narrow" w:hAnsi="Arial Narrow" w:cs="Calibri"/>
                <w:color w:val="000000"/>
                <w:sz w:val="18"/>
                <w:szCs w:val="18"/>
              </w:rPr>
              <w:t>Dottorato di ricerca/Alta formazione</w:t>
            </w:r>
          </w:p>
        </w:tc>
        <w:tc>
          <w:tcPr>
            <w:tcW w:w="522" w:type="pct"/>
            <w:shd w:val="clear" w:color="000000" w:fill="D9D9D9"/>
            <w:noWrap/>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1.426</w:t>
            </w:r>
          </w:p>
        </w:tc>
        <w:tc>
          <w:tcPr>
            <w:tcW w:w="522" w:type="pct"/>
            <w:shd w:val="clear" w:color="auto" w:fill="auto"/>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0,3</w:t>
            </w:r>
          </w:p>
        </w:tc>
        <w:tc>
          <w:tcPr>
            <w:tcW w:w="674" w:type="pct"/>
            <w:shd w:val="clear" w:color="000000" w:fill="D9D9D9"/>
            <w:noWrap/>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1.667</w:t>
            </w:r>
          </w:p>
        </w:tc>
        <w:tc>
          <w:tcPr>
            <w:tcW w:w="533" w:type="pct"/>
            <w:shd w:val="clear" w:color="auto" w:fill="auto"/>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0,3</w:t>
            </w:r>
          </w:p>
        </w:tc>
        <w:tc>
          <w:tcPr>
            <w:tcW w:w="674" w:type="pct"/>
            <w:shd w:val="clear" w:color="000000" w:fill="D9D9D9"/>
            <w:noWrap/>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1.356</w:t>
            </w:r>
          </w:p>
        </w:tc>
        <w:tc>
          <w:tcPr>
            <w:tcW w:w="522" w:type="pct"/>
            <w:shd w:val="clear" w:color="auto" w:fill="auto"/>
            <w:vAlign w:val="center"/>
            <w:hideMark/>
          </w:tcPr>
          <w:p w:rsidR="00EF5560" w:rsidRDefault="00EF5560"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0,3</w:t>
            </w:r>
          </w:p>
        </w:tc>
      </w:tr>
      <w:tr w:rsidR="00261A91" w:rsidTr="007D061F">
        <w:trPr>
          <w:trHeight w:val="255"/>
        </w:trPr>
        <w:tc>
          <w:tcPr>
            <w:tcW w:w="1554" w:type="pct"/>
            <w:shd w:val="clear" w:color="000000" w:fill="C9321F"/>
            <w:noWrap/>
            <w:vAlign w:val="center"/>
            <w:hideMark/>
          </w:tcPr>
          <w:p w:rsidR="00EF5560" w:rsidRDefault="00EF5560" w:rsidP="0000403D">
            <w:pPr>
              <w:spacing w:before="40" w:after="20"/>
              <w:rPr>
                <w:rFonts w:ascii="Arial Narrow" w:hAnsi="Arial Narrow" w:cs="Calibri"/>
                <w:b/>
                <w:bCs/>
                <w:color w:val="FFFFFF"/>
                <w:sz w:val="18"/>
                <w:szCs w:val="18"/>
              </w:rPr>
            </w:pPr>
            <w:r>
              <w:rPr>
                <w:rFonts w:ascii="Arial Narrow" w:hAnsi="Arial Narrow" w:cs="Calibri"/>
                <w:b/>
                <w:bCs/>
                <w:color w:val="FFFFFF"/>
                <w:sz w:val="18"/>
                <w:szCs w:val="18"/>
              </w:rPr>
              <w:t>TOTALE</w:t>
            </w:r>
          </w:p>
        </w:tc>
        <w:tc>
          <w:tcPr>
            <w:tcW w:w="522" w:type="pct"/>
            <w:shd w:val="clear" w:color="000000" w:fill="C9321F"/>
            <w:noWrap/>
            <w:vAlign w:val="center"/>
            <w:hideMark/>
          </w:tcPr>
          <w:p w:rsidR="00EF5560" w:rsidRDefault="00EF5560" w:rsidP="0000403D">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517.272</w:t>
            </w:r>
          </w:p>
        </w:tc>
        <w:tc>
          <w:tcPr>
            <w:tcW w:w="522" w:type="pct"/>
            <w:shd w:val="clear" w:color="000000" w:fill="C9321F"/>
            <w:noWrap/>
            <w:vAlign w:val="center"/>
            <w:hideMark/>
          </w:tcPr>
          <w:p w:rsidR="00EF5560" w:rsidRDefault="00EF5560" w:rsidP="0000403D">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100,0</w:t>
            </w:r>
          </w:p>
        </w:tc>
        <w:tc>
          <w:tcPr>
            <w:tcW w:w="674" w:type="pct"/>
            <w:shd w:val="clear" w:color="000000" w:fill="C9321F"/>
            <w:noWrap/>
            <w:vAlign w:val="center"/>
            <w:hideMark/>
          </w:tcPr>
          <w:p w:rsidR="00EF5560" w:rsidRDefault="00EF5560" w:rsidP="0000403D">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521.684</w:t>
            </w:r>
          </w:p>
        </w:tc>
        <w:tc>
          <w:tcPr>
            <w:tcW w:w="533" w:type="pct"/>
            <w:shd w:val="clear" w:color="000000" w:fill="C9321F"/>
            <w:noWrap/>
            <w:vAlign w:val="center"/>
            <w:hideMark/>
          </w:tcPr>
          <w:p w:rsidR="00EF5560" w:rsidRDefault="00EF5560" w:rsidP="0000403D">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100,0</w:t>
            </w:r>
          </w:p>
        </w:tc>
        <w:tc>
          <w:tcPr>
            <w:tcW w:w="674" w:type="pct"/>
            <w:shd w:val="clear" w:color="000000" w:fill="C9321F"/>
            <w:noWrap/>
            <w:vAlign w:val="center"/>
            <w:hideMark/>
          </w:tcPr>
          <w:p w:rsidR="00EF5560" w:rsidRDefault="00EF5560" w:rsidP="0000403D">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534.497</w:t>
            </w:r>
          </w:p>
        </w:tc>
        <w:tc>
          <w:tcPr>
            <w:tcW w:w="522" w:type="pct"/>
            <w:shd w:val="clear" w:color="000000" w:fill="C9321F"/>
            <w:noWrap/>
            <w:vAlign w:val="center"/>
            <w:hideMark/>
          </w:tcPr>
          <w:p w:rsidR="00EF5560" w:rsidRDefault="00EF5560" w:rsidP="0000403D">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100,0</w:t>
            </w:r>
          </w:p>
        </w:tc>
      </w:tr>
    </w:tbl>
    <w:p w:rsidR="00524D8D" w:rsidRDefault="00524D8D" w:rsidP="004F2FB1">
      <w:pPr>
        <w:spacing w:before="360" w:after="120"/>
        <w:jc w:val="both"/>
        <w:rPr>
          <w:rFonts w:ascii="Trebuchet MS" w:hAnsi="Trebuchet MS" w:cs="Arial"/>
          <w:color w:val="5F5F5F"/>
          <w:sz w:val="20"/>
          <w:szCs w:val="20"/>
        </w:rPr>
      </w:pPr>
    </w:p>
    <w:p w:rsidR="0001267D" w:rsidRPr="00710C34" w:rsidRDefault="00334440" w:rsidP="00E072ED">
      <w:pPr>
        <w:spacing w:before="240" w:after="60"/>
        <w:jc w:val="both"/>
        <w:rPr>
          <w:rFonts w:ascii="Arial Narrow" w:hAnsi="Arial Narrow" w:cs="Calibri"/>
          <w:color w:val="595959" w:themeColor="text1" w:themeTint="A6"/>
          <w:sz w:val="19"/>
          <w:szCs w:val="19"/>
        </w:rPr>
      </w:pPr>
      <w:r w:rsidRPr="00710C34">
        <w:rPr>
          <w:rFonts w:ascii="Arial Narrow" w:hAnsi="Arial Narrow"/>
          <w:b/>
          <w:bCs/>
          <w:color w:val="595959" w:themeColor="text1" w:themeTint="A6"/>
          <w:sz w:val="22"/>
          <w:szCs w:val="22"/>
        </w:rPr>
        <w:t xml:space="preserve">FIGURA </w:t>
      </w:r>
      <w:r w:rsidR="00D531E0" w:rsidRPr="00710C34">
        <w:rPr>
          <w:rFonts w:ascii="Arial Narrow" w:hAnsi="Arial Narrow"/>
          <w:b/>
          <w:bCs/>
          <w:color w:val="595959" w:themeColor="text1" w:themeTint="A6"/>
          <w:sz w:val="22"/>
          <w:szCs w:val="22"/>
        </w:rPr>
        <w:t>9</w:t>
      </w:r>
      <w:r w:rsidRPr="00710C34">
        <w:rPr>
          <w:rFonts w:ascii="Arial Narrow" w:hAnsi="Arial Narrow"/>
          <w:b/>
          <w:bCs/>
          <w:color w:val="595959" w:themeColor="text1" w:themeTint="A6"/>
          <w:sz w:val="22"/>
          <w:szCs w:val="22"/>
        </w:rPr>
        <w:t>.</w:t>
      </w:r>
      <w:r w:rsidR="0017045D" w:rsidRPr="0017045D">
        <w:rPr>
          <w:rFonts w:ascii="Arial Narrow" w:hAnsi="Arial Narrow"/>
          <w:color w:val="595959" w:themeColor="text1" w:themeTint="A6"/>
          <w:sz w:val="22"/>
          <w:szCs w:val="22"/>
        </w:rPr>
        <w:t>P</w:t>
      </w:r>
      <w:r w:rsidRPr="00710C34">
        <w:rPr>
          <w:rFonts w:ascii="Arial Narrow" w:hAnsi="Arial Narrow"/>
          <w:color w:val="595959" w:themeColor="text1" w:themeTint="A6"/>
          <w:sz w:val="22"/>
          <w:szCs w:val="22"/>
        </w:rPr>
        <w:t>OPOLAZIONE DI 9 ANNI E PI</w:t>
      </w:r>
      <w:r w:rsidR="00B474D4">
        <w:rPr>
          <w:rFonts w:ascii="Arial Narrow" w:hAnsi="Arial Narrow"/>
          <w:color w:val="595959" w:themeColor="text1" w:themeTint="A6"/>
          <w:sz w:val="22"/>
          <w:szCs w:val="22"/>
        </w:rPr>
        <w:t>Ù</w:t>
      </w:r>
      <w:r w:rsidRPr="00710C34">
        <w:rPr>
          <w:rFonts w:ascii="Arial Narrow" w:hAnsi="Arial Narrow"/>
          <w:color w:val="595959" w:themeColor="text1" w:themeTint="A6"/>
          <w:sz w:val="22"/>
          <w:szCs w:val="22"/>
        </w:rPr>
        <w:t xml:space="preserve"> PER GRADO DI ISTRUZIONE. </w:t>
      </w:r>
      <w:r w:rsidR="00EF5560">
        <w:rPr>
          <w:rFonts w:ascii="Arial Narrow" w:hAnsi="Arial Narrow"/>
          <w:color w:val="595959" w:themeColor="text1" w:themeTint="A6"/>
          <w:sz w:val="22"/>
          <w:szCs w:val="22"/>
        </w:rPr>
        <w:t xml:space="preserve">BASILICATA </w:t>
      </w:r>
      <w:r w:rsidRPr="00710C34">
        <w:rPr>
          <w:rFonts w:ascii="Arial Narrow" w:hAnsi="Arial Narrow"/>
          <w:color w:val="595959" w:themeColor="text1" w:themeTint="A6"/>
          <w:sz w:val="22"/>
          <w:szCs w:val="22"/>
        </w:rPr>
        <w:t>E ITALIA</w:t>
      </w:r>
      <w:r w:rsidR="006C3DC3" w:rsidRPr="00B474D4">
        <w:rPr>
          <w:rFonts w:ascii="Arial Narrow" w:hAnsi="Arial Narrow"/>
          <w:color w:val="595959" w:themeColor="text1" w:themeTint="A6"/>
          <w:sz w:val="20"/>
          <w:szCs w:val="20"/>
        </w:rPr>
        <w:t xml:space="preserve">. </w:t>
      </w:r>
      <w:r w:rsidRPr="00B474D4">
        <w:rPr>
          <w:rFonts w:ascii="Arial Narrow" w:hAnsi="Arial Narrow" w:cs="Calibri"/>
          <w:color w:val="595959" w:themeColor="text1" w:themeTint="A6"/>
          <w:sz w:val="20"/>
          <w:szCs w:val="20"/>
        </w:rPr>
        <w:t>Variazione percentuale anni 2011-2019</w:t>
      </w:r>
    </w:p>
    <w:p w:rsidR="00524D8D" w:rsidRDefault="00B474D4" w:rsidP="00524D8D">
      <w:pPr>
        <w:spacing w:after="120"/>
        <w:jc w:val="both"/>
        <w:rPr>
          <w:rFonts w:ascii="Trebuchet MS" w:hAnsi="Trebuchet MS" w:cs="Arial"/>
          <w:color w:val="5F5F5F"/>
          <w:sz w:val="20"/>
          <w:szCs w:val="20"/>
        </w:rPr>
      </w:pPr>
      <w:r>
        <w:rPr>
          <w:noProof/>
        </w:rPr>
        <w:drawing>
          <wp:inline distT="0" distB="0" distL="0" distR="0">
            <wp:extent cx="6120000" cy="2160000"/>
            <wp:effectExtent l="0" t="0" r="14605" b="12065"/>
            <wp:docPr id="2" name="Grafico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1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0403D" w:rsidRDefault="0000403D" w:rsidP="00B474D4">
      <w:pPr>
        <w:spacing w:before="240" w:after="120"/>
        <w:jc w:val="both"/>
        <w:rPr>
          <w:rFonts w:ascii="Trebuchet MS" w:hAnsi="Trebuchet MS" w:cs="Arial"/>
          <w:color w:val="5F5F5F"/>
          <w:sz w:val="20"/>
          <w:szCs w:val="20"/>
        </w:rPr>
      </w:pPr>
    </w:p>
    <w:p w:rsidR="00334440" w:rsidRPr="003B71FA" w:rsidRDefault="00283393" w:rsidP="0000403D">
      <w:pPr>
        <w:spacing w:before="120" w:after="120"/>
        <w:jc w:val="both"/>
        <w:rPr>
          <w:rFonts w:ascii="Trebuchet MS" w:hAnsi="Trebuchet MS" w:cs="Arial"/>
          <w:color w:val="5F5F5F"/>
          <w:sz w:val="20"/>
          <w:szCs w:val="20"/>
        </w:rPr>
      </w:pPr>
      <w:r>
        <w:rPr>
          <w:rFonts w:ascii="Trebuchet MS" w:hAnsi="Trebuchet MS" w:cs="Arial"/>
          <w:color w:val="5F5F5F"/>
          <w:sz w:val="20"/>
          <w:szCs w:val="20"/>
        </w:rPr>
        <w:t>I risultati del c</w:t>
      </w:r>
      <w:r w:rsidR="00334440" w:rsidRPr="003B71FA">
        <w:rPr>
          <w:rFonts w:ascii="Trebuchet MS" w:hAnsi="Trebuchet MS" w:cs="Arial"/>
          <w:color w:val="5F5F5F"/>
          <w:sz w:val="20"/>
          <w:szCs w:val="20"/>
        </w:rPr>
        <w:t>ensimento permettono di cogliere le differenze territoriali nei livelli di istruzione, come uno degli elementi cardine per una migliore conoscenza dei contesti in cui le persone vivono. L’istruzione, in quanto elemento circolare tra persone e ambiente di riferimento, è fortemente condizionata dal contesto, a partire dalla presenza sul territorio di strutture scolastiche e universitarie fino alla dispon</w:t>
      </w:r>
      <w:r w:rsidR="00093E74" w:rsidRPr="003B71FA">
        <w:rPr>
          <w:rFonts w:ascii="Trebuchet MS" w:hAnsi="Trebuchet MS" w:cs="Arial"/>
          <w:color w:val="5F5F5F"/>
          <w:sz w:val="20"/>
          <w:szCs w:val="20"/>
        </w:rPr>
        <w:t>i</w:t>
      </w:r>
      <w:r w:rsidR="00334440" w:rsidRPr="003B71FA">
        <w:rPr>
          <w:rFonts w:ascii="Trebuchet MS" w:hAnsi="Trebuchet MS" w:cs="Arial"/>
          <w:color w:val="5F5F5F"/>
          <w:sz w:val="20"/>
          <w:szCs w:val="20"/>
        </w:rPr>
        <w:t xml:space="preserve">bilità di infrastrutture di mobilità adeguate. </w:t>
      </w:r>
    </w:p>
    <w:p w:rsidR="0017045D" w:rsidRPr="009F7660" w:rsidRDefault="00AE02E1" w:rsidP="00262540">
      <w:pPr>
        <w:spacing w:after="120"/>
        <w:jc w:val="both"/>
        <w:rPr>
          <w:rFonts w:ascii="Trebuchet MS" w:hAnsi="Trebuchet MS" w:cs="Arial"/>
          <w:color w:val="5F5F5F"/>
          <w:sz w:val="20"/>
          <w:szCs w:val="20"/>
        </w:rPr>
      </w:pPr>
      <w:r w:rsidRPr="009F7660">
        <w:rPr>
          <w:rFonts w:ascii="Trebuchet MS" w:hAnsi="Trebuchet MS" w:cs="Arial"/>
          <w:color w:val="5F5F5F"/>
          <w:sz w:val="20"/>
          <w:szCs w:val="20"/>
        </w:rPr>
        <w:t>La</w:t>
      </w:r>
      <w:r w:rsidR="0031605B" w:rsidRPr="009F7660">
        <w:rPr>
          <w:rFonts w:ascii="Trebuchet MS" w:hAnsi="Trebuchet MS" w:cs="Arial"/>
          <w:color w:val="5F5F5F"/>
          <w:sz w:val="20"/>
          <w:szCs w:val="20"/>
        </w:rPr>
        <w:t xml:space="preserve"> distribuzione dei titoli di studio</w:t>
      </w:r>
      <w:r w:rsidR="00334440" w:rsidRPr="009F7660">
        <w:rPr>
          <w:rFonts w:ascii="Trebuchet MS" w:hAnsi="Trebuchet MS" w:cs="Arial"/>
          <w:color w:val="5F5F5F"/>
          <w:sz w:val="20"/>
          <w:szCs w:val="20"/>
        </w:rPr>
        <w:t xml:space="preserve"> è omogenea</w:t>
      </w:r>
      <w:r w:rsidR="000226B3" w:rsidRPr="009F7660">
        <w:rPr>
          <w:rFonts w:ascii="Trebuchet MS" w:hAnsi="Trebuchet MS" w:cs="Arial"/>
          <w:color w:val="5F5F5F"/>
          <w:sz w:val="20"/>
          <w:szCs w:val="20"/>
        </w:rPr>
        <w:t>;</w:t>
      </w:r>
      <w:r w:rsidRPr="009F7660">
        <w:rPr>
          <w:rFonts w:ascii="Trebuchet MS" w:hAnsi="Trebuchet MS" w:cs="Arial"/>
          <w:color w:val="5F5F5F"/>
          <w:sz w:val="20"/>
          <w:szCs w:val="20"/>
        </w:rPr>
        <w:t xml:space="preserve"> le differenze fra le due province</w:t>
      </w:r>
      <w:r w:rsidR="000226B3" w:rsidRPr="009F7660">
        <w:rPr>
          <w:rFonts w:ascii="Trebuchet MS" w:hAnsi="Trebuchet MS" w:cs="Arial"/>
          <w:color w:val="5F5F5F"/>
          <w:sz w:val="20"/>
          <w:szCs w:val="20"/>
        </w:rPr>
        <w:t xml:space="preserve">, infatti, </w:t>
      </w:r>
      <w:r w:rsidR="0074181A" w:rsidRPr="009F7660">
        <w:rPr>
          <w:rFonts w:ascii="Trebuchet MS" w:hAnsi="Trebuchet MS" w:cs="Arial"/>
          <w:color w:val="5F5F5F"/>
          <w:sz w:val="20"/>
          <w:szCs w:val="20"/>
        </w:rPr>
        <w:t>non arrivano a un punto percentuale</w:t>
      </w:r>
      <w:r w:rsidR="009500FE">
        <w:rPr>
          <w:rFonts w:ascii="Trebuchet MS" w:hAnsi="Trebuchet MS" w:cs="Arial"/>
          <w:color w:val="5F5F5F"/>
          <w:sz w:val="20"/>
          <w:szCs w:val="20"/>
        </w:rPr>
        <w:t>.</w:t>
      </w:r>
      <w:r w:rsidR="00985BCB" w:rsidRPr="009F7660">
        <w:rPr>
          <w:rFonts w:ascii="Trebuchet MS" w:hAnsi="Trebuchet MS" w:cs="Arial"/>
          <w:color w:val="5F5F5F"/>
          <w:sz w:val="20"/>
          <w:szCs w:val="20"/>
        </w:rPr>
        <w:t xml:space="preserve">Matera è la provincia con maggiore incidenza di diplomati (35,8%, contro il 35,1% di Potenza) e di persone con un titolo terziario e superiore (13,6%, contro il 13,4% di Potenza); a Potenza, invece si rileva la maggiore quota di persone senza titolo o con al massimo la licenza media (51,5%, contro il 50,6% di Matera). </w:t>
      </w:r>
    </w:p>
    <w:p w:rsidR="0017045D" w:rsidRDefault="009644B2" w:rsidP="0017045D">
      <w:pPr>
        <w:spacing w:after="120"/>
        <w:jc w:val="both"/>
        <w:rPr>
          <w:rFonts w:ascii="Trebuchet MS" w:hAnsi="Trebuchet MS" w:cs="Arial"/>
          <w:color w:val="5F5F5F"/>
          <w:sz w:val="20"/>
          <w:szCs w:val="20"/>
        </w:rPr>
      </w:pPr>
      <w:r w:rsidRPr="009F7660">
        <w:rPr>
          <w:rFonts w:ascii="Trebuchet MS" w:hAnsi="Trebuchet MS" w:cs="Arial"/>
          <w:color w:val="5F5F5F"/>
          <w:sz w:val="20"/>
          <w:szCs w:val="20"/>
        </w:rPr>
        <w:t xml:space="preserve">Potenza (con il 21,1%) e Matera (18,5%) sono rispettivamente il primo e il terzo comune per incidenza di residenti con untitolo di studio </w:t>
      </w:r>
      <w:r w:rsidR="00D5536E" w:rsidRPr="009F7660">
        <w:rPr>
          <w:rFonts w:ascii="Trebuchet MS" w:hAnsi="Trebuchet MS" w:cs="Arial"/>
          <w:color w:val="5F5F5F"/>
          <w:sz w:val="20"/>
          <w:szCs w:val="20"/>
        </w:rPr>
        <w:t>terziario</w:t>
      </w:r>
      <w:r w:rsidRPr="009F7660">
        <w:rPr>
          <w:rFonts w:ascii="Trebuchet MS" w:hAnsi="Trebuchet MS" w:cs="Arial"/>
          <w:color w:val="5F5F5F"/>
          <w:sz w:val="20"/>
          <w:szCs w:val="20"/>
        </w:rPr>
        <w:t xml:space="preserve"> e superiore. Oltre ai </w:t>
      </w:r>
      <w:r w:rsidR="00871B69" w:rsidRPr="009F7660">
        <w:rPr>
          <w:rFonts w:ascii="Trebuchet MS" w:hAnsi="Trebuchet MS" w:cs="Arial"/>
          <w:color w:val="5F5F5F"/>
          <w:sz w:val="20"/>
          <w:szCs w:val="20"/>
        </w:rPr>
        <w:t xml:space="preserve">due capoluoghi di provincia, </w:t>
      </w:r>
      <w:r w:rsidR="00F14313" w:rsidRPr="009F7660">
        <w:rPr>
          <w:rFonts w:ascii="Trebuchet MS" w:hAnsi="Trebuchet MS" w:cs="Arial"/>
          <w:color w:val="5F5F5F"/>
          <w:sz w:val="20"/>
          <w:szCs w:val="20"/>
        </w:rPr>
        <w:t xml:space="preserve">si rilevano quote laureati superiori alla media </w:t>
      </w:r>
      <w:r w:rsidRPr="009F7660">
        <w:rPr>
          <w:rFonts w:ascii="Trebuchet MS" w:hAnsi="Trebuchet MS" w:cs="Arial"/>
          <w:color w:val="5F5F5F"/>
          <w:sz w:val="20"/>
          <w:szCs w:val="20"/>
        </w:rPr>
        <w:t>anche in altri 16</w:t>
      </w:r>
      <w:r w:rsidR="00F14313" w:rsidRPr="009F7660">
        <w:rPr>
          <w:rFonts w:ascii="Trebuchet MS" w:hAnsi="Trebuchet MS" w:cs="Arial"/>
          <w:color w:val="5F5F5F"/>
          <w:sz w:val="20"/>
          <w:szCs w:val="20"/>
        </w:rPr>
        <w:t xml:space="preserve"> comuni, </w:t>
      </w:r>
      <w:r w:rsidR="0010574D" w:rsidRPr="009F7660">
        <w:rPr>
          <w:rFonts w:ascii="Trebuchet MS" w:hAnsi="Trebuchet MS" w:cs="Arial"/>
          <w:color w:val="5F5F5F"/>
          <w:sz w:val="20"/>
          <w:szCs w:val="20"/>
        </w:rPr>
        <w:t xml:space="preserve">con valori più elevati a </w:t>
      </w:r>
      <w:r w:rsidR="00F14313" w:rsidRPr="009F7660">
        <w:rPr>
          <w:rFonts w:ascii="Trebuchet MS" w:hAnsi="Trebuchet MS" w:cs="Arial"/>
          <w:color w:val="5F5F5F"/>
          <w:sz w:val="20"/>
          <w:szCs w:val="20"/>
        </w:rPr>
        <w:t xml:space="preserve">Lagonegro (18,7%) e </w:t>
      </w:r>
      <w:r w:rsidR="0010574D" w:rsidRPr="009F7660">
        <w:rPr>
          <w:rFonts w:ascii="Trebuchet MS" w:hAnsi="Trebuchet MS" w:cs="Arial"/>
          <w:color w:val="5F5F5F"/>
          <w:sz w:val="20"/>
          <w:szCs w:val="20"/>
        </w:rPr>
        <w:t xml:space="preserve">a </w:t>
      </w:r>
      <w:r w:rsidR="00F14313" w:rsidRPr="009F7660">
        <w:rPr>
          <w:rFonts w:ascii="Trebuchet MS" w:hAnsi="Trebuchet MS" w:cs="Arial"/>
          <w:color w:val="5F5F5F"/>
          <w:sz w:val="20"/>
          <w:szCs w:val="20"/>
        </w:rPr>
        <w:t>Pescopagano (16,3%)</w:t>
      </w:r>
      <w:r w:rsidR="0010574D" w:rsidRPr="009F7660">
        <w:rPr>
          <w:rFonts w:ascii="Trebuchet MS" w:hAnsi="Trebuchet MS" w:cs="Arial"/>
          <w:color w:val="5F5F5F"/>
          <w:sz w:val="20"/>
          <w:szCs w:val="20"/>
        </w:rPr>
        <w:t>.</w:t>
      </w:r>
    </w:p>
    <w:p w:rsidR="009500FE" w:rsidRPr="009F7660" w:rsidRDefault="009500FE" w:rsidP="0017045D">
      <w:pPr>
        <w:spacing w:after="120"/>
        <w:jc w:val="both"/>
        <w:rPr>
          <w:rFonts w:ascii="Trebuchet MS" w:hAnsi="Trebuchet MS" w:cs="Arial"/>
          <w:color w:val="5F5F5F"/>
          <w:sz w:val="20"/>
          <w:szCs w:val="20"/>
        </w:rPr>
      </w:pPr>
    </w:p>
    <w:p w:rsidR="00334440" w:rsidRPr="00710C34" w:rsidRDefault="00334440" w:rsidP="00E072ED">
      <w:pPr>
        <w:spacing w:before="240" w:after="60"/>
        <w:jc w:val="both"/>
        <w:rPr>
          <w:rFonts w:ascii="Arial Narrow" w:hAnsi="Arial Narrow" w:cs="Calibri"/>
          <w:color w:val="595959" w:themeColor="text1" w:themeTint="A6"/>
          <w:sz w:val="19"/>
          <w:szCs w:val="19"/>
        </w:rPr>
      </w:pPr>
      <w:r w:rsidRPr="00710C34">
        <w:rPr>
          <w:rFonts w:ascii="Arial Narrow" w:hAnsi="Arial Narrow"/>
          <w:b/>
          <w:bCs/>
          <w:color w:val="595959" w:themeColor="text1" w:themeTint="A6"/>
          <w:sz w:val="22"/>
          <w:szCs w:val="22"/>
        </w:rPr>
        <w:t xml:space="preserve">FIGURA </w:t>
      </w:r>
      <w:r w:rsidR="00D531E0" w:rsidRPr="00710C34">
        <w:rPr>
          <w:rFonts w:ascii="Arial Narrow" w:hAnsi="Arial Narrow"/>
          <w:b/>
          <w:bCs/>
          <w:color w:val="595959" w:themeColor="text1" w:themeTint="A6"/>
          <w:sz w:val="22"/>
          <w:szCs w:val="22"/>
        </w:rPr>
        <w:t>10</w:t>
      </w:r>
      <w:r w:rsidRPr="00710C34">
        <w:rPr>
          <w:rFonts w:ascii="Arial Narrow" w:hAnsi="Arial Narrow"/>
          <w:b/>
          <w:bCs/>
          <w:color w:val="595959" w:themeColor="text1" w:themeTint="A6"/>
          <w:sz w:val="22"/>
          <w:szCs w:val="22"/>
        </w:rPr>
        <w:t>.</w:t>
      </w:r>
      <w:r w:rsidRPr="00710C34">
        <w:rPr>
          <w:rFonts w:ascii="Arial Narrow" w:hAnsi="Arial Narrow"/>
          <w:color w:val="595959" w:themeColor="text1" w:themeTint="A6"/>
          <w:sz w:val="22"/>
          <w:szCs w:val="22"/>
        </w:rPr>
        <w:t>POPOLAZIONE DI 9 ANNI E PI</w:t>
      </w:r>
      <w:r w:rsidR="003F2562">
        <w:rPr>
          <w:rFonts w:ascii="Arial Narrow" w:hAnsi="Arial Narrow"/>
          <w:color w:val="595959" w:themeColor="text1" w:themeTint="A6"/>
          <w:sz w:val="22"/>
          <w:szCs w:val="22"/>
        </w:rPr>
        <w:t>Ù</w:t>
      </w:r>
      <w:r w:rsidRPr="00710C34">
        <w:rPr>
          <w:rFonts w:ascii="Arial Narrow" w:hAnsi="Arial Narrow"/>
          <w:color w:val="595959" w:themeColor="text1" w:themeTint="A6"/>
          <w:sz w:val="22"/>
          <w:szCs w:val="22"/>
        </w:rPr>
        <w:t xml:space="preserve"> PER GRADO DI ISTRUZIONE E PROVINCIA. </w:t>
      </w:r>
      <w:r w:rsidR="00EF5560">
        <w:rPr>
          <w:rFonts w:ascii="Arial Narrow" w:hAnsi="Arial Narrow"/>
          <w:color w:val="595959" w:themeColor="text1" w:themeTint="A6"/>
          <w:sz w:val="22"/>
          <w:szCs w:val="22"/>
        </w:rPr>
        <w:t>BASILICATA</w:t>
      </w:r>
      <w:r w:rsidRPr="00710C34">
        <w:rPr>
          <w:rFonts w:ascii="Arial Narrow" w:hAnsi="Arial Narrow"/>
          <w:color w:val="595959" w:themeColor="text1" w:themeTint="A6"/>
          <w:sz w:val="22"/>
          <w:szCs w:val="22"/>
        </w:rPr>
        <w:t>E ITALIA</w:t>
      </w:r>
      <w:r w:rsidR="008E011C">
        <w:rPr>
          <w:rFonts w:ascii="Arial Narrow" w:hAnsi="Arial Narrow"/>
          <w:color w:val="595959" w:themeColor="text1" w:themeTint="A6"/>
          <w:sz w:val="22"/>
          <w:szCs w:val="22"/>
        </w:rPr>
        <w:t>.</w:t>
      </w:r>
      <w:r w:rsidRPr="004F2FB1">
        <w:rPr>
          <w:rFonts w:ascii="Arial Narrow" w:hAnsi="Arial Narrow" w:cs="Calibri"/>
          <w:color w:val="595959" w:themeColor="text1" w:themeTint="A6"/>
          <w:sz w:val="20"/>
          <w:szCs w:val="20"/>
        </w:rPr>
        <w:t xml:space="preserve">Anno 2019. </w:t>
      </w:r>
      <w:r w:rsidR="006975E0" w:rsidRPr="004F2FB1">
        <w:rPr>
          <w:rFonts w:ascii="Arial Narrow" w:hAnsi="Arial Narrow" w:cs="Calibri"/>
          <w:color w:val="595959" w:themeColor="text1" w:themeTint="A6"/>
          <w:sz w:val="20"/>
          <w:szCs w:val="20"/>
        </w:rPr>
        <w:t>Valori percentuali</w:t>
      </w:r>
    </w:p>
    <w:p w:rsidR="00524D8D" w:rsidRDefault="003F2562" w:rsidP="00524D8D">
      <w:pPr>
        <w:spacing w:after="120"/>
        <w:jc w:val="both"/>
        <w:rPr>
          <w:rFonts w:ascii="Trebuchet MS" w:hAnsi="Trebuchet MS" w:cs="Arial"/>
          <w:color w:val="5F5F5F"/>
          <w:sz w:val="20"/>
          <w:szCs w:val="20"/>
        </w:rPr>
      </w:pPr>
      <w:r>
        <w:rPr>
          <w:noProof/>
        </w:rPr>
        <w:drawing>
          <wp:inline distT="0" distB="0" distL="0" distR="0">
            <wp:extent cx="6120000" cy="2160000"/>
            <wp:effectExtent l="0" t="0" r="14605" b="12065"/>
            <wp:docPr id="6" name="Grafico 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500FE" w:rsidRDefault="009500FE" w:rsidP="004F2FB1">
      <w:pPr>
        <w:spacing w:before="360" w:after="120"/>
        <w:jc w:val="both"/>
        <w:rPr>
          <w:rFonts w:ascii="Trebuchet MS" w:hAnsi="Trebuchet MS" w:cs="Arial"/>
          <w:color w:val="5F5F5F"/>
          <w:sz w:val="20"/>
          <w:szCs w:val="20"/>
        </w:rPr>
      </w:pPr>
    </w:p>
    <w:p w:rsidR="00334440" w:rsidRPr="002174A0" w:rsidRDefault="009F7660" w:rsidP="004F2FB1">
      <w:pPr>
        <w:spacing w:before="360" w:after="120"/>
        <w:jc w:val="both"/>
        <w:rPr>
          <w:rFonts w:ascii="Trebuchet MS" w:hAnsi="Trebuchet MS" w:cs="Arial"/>
          <w:color w:val="5F5F5F"/>
          <w:sz w:val="20"/>
          <w:szCs w:val="20"/>
          <w:highlight w:val="yellow"/>
        </w:rPr>
      </w:pPr>
      <w:r w:rsidRPr="009F7660">
        <w:rPr>
          <w:rFonts w:ascii="Trebuchet MS" w:hAnsi="Trebuchet MS" w:cs="Arial"/>
          <w:color w:val="5F5F5F"/>
          <w:sz w:val="20"/>
          <w:szCs w:val="20"/>
        </w:rPr>
        <w:t>La</w:t>
      </w:r>
      <w:r w:rsidR="00334440" w:rsidRPr="009F7660">
        <w:rPr>
          <w:rFonts w:ascii="Trebuchet MS" w:hAnsi="Trebuchet MS" w:cs="Arial"/>
          <w:color w:val="5F5F5F"/>
          <w:sz w:val="20"/>
          <w:szCs w:val="20"/>
        </w:rPr>
        <w:t xml:space="preserve"> distribuzione dei titoli di istruzione per genere</w:t>
      </w:r>
      <w:r w:rsidRPr="009F7660">
        <w:rPr>
          <w:rFonts w:ascii="Trebuchet MS" w:hAnsi="Trebuchet MS" w:cs="Arial"/>
          <w:color w:val="5F5F5F"/>
          <w:sz w:val="20"/>
          <w:szCs w:val="20"/>
        </w:rPr>
        <w:t xml:space="preserve"> in </w:t>
      </w:r>
      <w:r w:rsidR="00427B53" w:rsidRPr="009F7660">
        <w:rPr>
          <w:rFonts w:ascii="Trebuchet MS" w:hAnsi="Trebuchet MS" w:cs="Arial"/>
          <w:color w:val="5F5F5F"/>
          <w:sz w:val="20"/>
          <w:szCs w:val="20"/>
        </w:rPr>
        <w:t>Basilicata</w:t>
      </w:r>
      <w:r w:rsidR="00334440" w:rsidRPr="009F7660">
        <w:rPr>
          <w:rFonts w:ascii="Trebuchet MS" w:hAnsi="Trebuchet MS" w:cs="Arial"/>
          <w:color w:val="5F5F5F"/>
          <w:sz w:val="20"/>
          <w:szCs w:val="20"/>
        </w:rPr>
        <w:t xml:space="preserve"> si presenta sostanzialmente in linea con quella nazionale</w:t>
      </w:r>
      <w:r w:rsidRPr="009F7660">
        <w:rPr>
          <w:rFonts w:ascii="Trebuchet MS" w:hAnsi="Trebuchet MS" w:cs="Arial"/>
          <w:color w:val="5F5F5F"/>
          <w:sz w:val="20"/>
          <w:szCs w:val="20"/>
        </w:rPr>
        <w:t>, con una prevalenza delle donne fra le persone che al massimo hanno conseguito la licenza elementare e tra i residenti in possesso di un titolo di studio terziario e superiore</w:t>
      </w:r>
      <w:r>
        <w:rPr>
          <w:rFonts w:ascii="Trebuchet MS" w:hAnsi="Trebuchet MS" w:cs="Arial"/>
          <w:color w:val="5F5F5F"/>
          <w:sz w:val="20"/>
          <w:szCs w:val="20"/>
        </w:rPr>
        <w:t>.</w:t>
      </w:r>
    </w:p>
    <w:p w:rsidR="000D28C8" w:rsidRPr="00361C95" w:rsidRDefault="00334440" w:rsidP="000D28C8">
      <w:pPr>
        <w:spacing w:after="120"/>
        <w:jc w:val="both"/>
        <w:rPr>
          <w:rFonts w:ascii="Trebuchet MS" w:hAnsi="Trebuchet MS" w:cs="Arial"/>
          <w:color w:val="5F5F5F"/>
          <w:sz w:val="20"/>
          <w:szCs w:val="20"/>
        </w:rPr>
      </w:pPr>
      <w:r w:rsidRPr="009F7660">
        <w:rPr>
          <w:rFonts w:ascii="Trebuchet MS" w:hAnsi="Trebuchet MS" w:cs="Arial"/>
          <w:color w:val="5F5F5F"/>
          <w:sz w:val="20"/>
          <w:szCs w:val="20"/>
        </w:rPr>
        <w:t>Nel 2019</w:t>
      </w:r>
      <w:r w:rsidR="003512DE" w:rsidRPr="009F7660">
        <w:rPr>
          <w:rFonts w:ascii="Trebuchet MS" w:hAnsi="Trebuchet MS" w:cs="Arial"/>
          <w:color w:val="5F5F5F"/>
          <w:sz w:val="20"/>
          <w:szCs w:val="20"/>
        </w:rPr>
        <w:t>,</w:t>
      </w:r>
      <w:r w:rsidRPr="009F7660">
        <w:rPr>
          <w:rFonts w:ascii="Trebuchet MS" w:hAnsi="Trebuchet MS" w:cs="Arial"/>
          <w:color w:val="5F5F5F"/>
          <w:sz w:val="20"/>
          <w:szCs w:val="20"/>
        </w:rPr>
        <w:t xml:space="preserve"> su 100 persone residenti in </w:t>
      </w:r>
      <w:r w:rsidR="00427B53" w:rsidRPr="009F7660">
        <w:rPr>
          <w:rFonts w:ascii="Trebuchet MS" w:hAnsi="Trebuchet MS" w:cs="Arial"/>
          <w:color w:val="5F5F5F"/>
          <w:sz w:val="20"/>
          <w:szCs w:val="20"/>
        </w:rPr>
        <w:t>Basilicata</w:t>
      </w:r>
      <w:r w:rsidRPr="009F7660">
        <w:rPr>
          <w:rFonts w:ascii="Trebuchet MS" w:hAnsi="Trebuchet MS" w:cs="Arial"/>
          <w:color w:val="5F5F5F"/>
          <w:sz w:val="20"/>
          <w:szCs w:val="20"/>
        </w:rPr>
        <w:t xml:space="preserve"> con titolo di istruzione terziario e superiore </w:t>
      </w:r>
      <w:r w:rsidR="003512DE" w:rsidRPr="009F7660">
        <w:rPr>
          <w:rFonts w:ascii="Trebuchet MS" w:hAnsi="Trebuchet MS" w:cs="Arial"/>
          <w:color w:val="5F5F5F"/>
          <w:sz w:val="20"/>
          <w:szCs w:val="20"/>
        </w:rPr>
        <w:t xml:space="preserve">le donne sono </w:t>
      </w:r>
      <w:r w:rsidRPr="009F7660">
        <w:rPr>
          <w:rFonts w:ascii="Trebuchet MS" w:hAnsi="Trebuchet MS" w:cs="Arial"/>
          <w:color w:val="5F5F5F"/>
          <w:sz w:val="20"/>
          <w:szCs w:val="20"/>
        </w:rPr>
        <w:t>5</w:t>
      </w:r>
      <w:r w:rsidR="00FA5604">
        <w:rPr>
          <w:rFonts w:ascii="Trebuchet MS" w:hAnsi="Trebuchet MS" w:cs="Arial"/>
          <w:color w:val="5F5F5F"/>
          <w:sz w:val="20"/>
          <w:szCs w:val="20"/>
        </w:rPr>
        <w:t>6</w:t>
      </w:r>
      <w:r w:rsidR="003512DE" w:rsidRPr="009F7660">
        <w:rPr>
          <w:rFonts w:ascii="Trebuchet MS" w:hAnsi="Trebuchet MS" w:cs="Arial"/>
          <w:color w:val="5F5F5F"/>
          <w:sz w:val="20"/>
          <w:szCs w:val="20"/>
        </w:rPr>
        <w:t xml:space="preserve"> e </w:t>
      </w:r>
      <w:r w:rsidR="00A867AF" w:rsidRPr="009F7660">
        <w:rPr>
          <w:rFonts w:ascii="Trebuchet MS" w:hAnsi="Trebuchet MS" w:cs="Arial"/>
          <w:color w:val="5F5F5F"/>
          <w:sz w:val="20"/>
          <w:szCs w:val="20"/>
        </w:rPr>
        <w:t xml:space="preserve">rappresentano il </w:t>
      </w:r>
      <w:r w:rsidR="00F829E3">
        <w:rPr>
          <w:rFonts w:ascii="Trebuchet MS" w:hAnsi="Trebuchet MS" w:cs="Arial"/>
          <w:color w:val="5F5F5F"/>
          <w:sz w:val="20"/>
          <w:szCs w:val="20"/>
        </w:rPr>
        <w:t>14,9</w:t>
      </w:r>
      <w:r w:rsidR="00A867AF" w:rsidRPr="009F7660">
        <w:rPr>
          <w:rFonts w:ascii="Trebuchet MS" w:hAnsi="Trebuchet MS" w:cs="Arial"/>
          <w:color w:val="5F5F5F"/>
          <w:sz w:val="20"/>
          <w:szCs w:val="20"/>
        </w:rPr>
        <w:t xml:space="preserve">% delle donne con oltre 9 anni di età </w:t>
      </w:r>
      <w:r w:rsidRPr="009F7660">
        <w:rPr>
          <w:rFonts w:ascii="Trebuchet MS" w:hAnsi="Trebuchet MS" w:cs="Arial"/>
          <w:color w:val="5F5F5F"/>
          <w:sz w:val="20"/>
          <w:szCs w:val="20"/>
        </w:rPr>
        <w:t>(56 a livello nazionale</w:t>
      </w:r>
      <w:r w:rsidR="009A49B3" w:rsidRPr="009F7660">
        <w:rPr>
          <w:rFonts w:ascii="Trebuchet MS" w:hAnsi="Trebuchet MS" w:cs="Arial"/>
          <w:color w:val="5F5F5F"/>
          <w:sz w:val="20"/>
          <w:szCs w:val="20"/>
        </w:rPr>
        <w:t xml:space="preserve">, </w:t>
      </w:r>
      <w:r w:rsidR="00A867AF" w:rsidRPr="009F7660">
        <w:rPr>
          <w:rFonts w:ascii="Trebuchet MS" w:hAnsi="Trebuchet MS" w:cs="Arial"/>
          <w:color w:val="5F5F5F"/>
          <w:sz w:val="20"/>
          <w:szCs w:val="20"/>
        </w:rPr>
        <w:t>il 15,5% della popolazione femminile di riferimento</w:t>
      </w:r>
      <w:r w:rsidRPr="009F7660">
        <w:rPr>
          <w:rFonts w:ascii="Trebuchet MS" w:hAnsi="Trebuchet MS" w:cs="Arial"/>
          <w:color w:val="5F5F5F"/>
          <w:sz w:val="20"/>
          <w:szCs w:val="20"/>
        </w:rPr>
        <w:t>)</w:t>
      </w:r>
      <w:r w:rsidR="00881528" w:rsidRPr="009F7660">
        <w:rPr>
          <w:rFonts w:ascii="Trebuchet MS" w:hAnsi="Trebuchet MS" w:cs="Arial"/>
          <w:color w:val="5F5F5F"/>
          <w:sz w:val="20"/>
          <w:szCs w:val="20"/>
        </w:rPr>
        <w:t xml:space="preserve">. </w:t>
      </w:r>
      <w:r w:rsidR="000D28C8">
        <w:rPr>
          <w:rFonts w:ascii="Trebuchet MS" w:hAnsi="Trebuchet MS" w:cs="Arial"/>
          <w:color w:val="5F5F5F"/>
          <w:sz w:val="20"/>
          <w:szCs w:val="20"/>
        </w:rPr>
        <w:t>L</w:t>
      </w:r>
      <w:r w:rsidR="000D28C8" w:rsidRPr="00361C95">
        <w:rPr>
          <w:rFonts w:ascii="Trebuchet MS" w:hAnsi="Trebuchet MS" w:cs="Arial"/>
          <w:color w:val="5F5F5F"/>
          <w:sz w:val="20"/>
          <w:szCs w:val="20"/>
        </w:rPr>
        <w:t>e donne rappresentano il 5</w:t>
      </w:r>
      <w:r w:rsidR="000D28C8">
        <w:rPr>
          <w:rFonts w:ascii="Trebuchet MS" w:hAnsi="Trebuchet MS" w:cs="Arial"/>
          <w:color w:val="5F5F5F"/>
          <w:sz w:val="20"/>
          <w:szCs w:val="20"/>
        </w:rPr>
        <w:t>8,</w:t>
      </w:r>
      <w:r w:rsidR="000D28C8" w:rsidRPr="00361C95">
        <w:rPr>
          <w:rFonts w:ascii="Trebuchet MS" w:hAnsi="Trebuchet MS" w:cs="Arial"/>
          <w:color w:val="5F5F5F"/>
          <w:sz w:val="20"/>
          <w:szCs w:val="20"/>
        </w:rPr>
        <w:t>6% dei laureati di primo livello (Italia 59,0%), il 5</w:t>
      </w:r>
      <w:r w:rsidR="000D28C8">
        <w:rPr>
          <w:rFonts w:ascii="Trebuchet MS" w:hAnsi="Trebuchet MS" w:cs="Arial"/>
          <w:color w:val="5F5F5F"/>
          <w:sz w:val="20"/>
          <w:szCs w:val="20"/>
        </w:rPr>
        <w:t>5,2</w:t>
      </w:r>
      <w:r w:rsidR="000D28C8" w:rsidRPr="00361C95">
        <w:rPr>
          <w:rFonts w:ascii="Trebuchet MS" w:hAnsi="Trebuchet MS" w:cs="Arial"/>
          <w:color w:val="5F5F5F"/>
          <w:sz w:val="20"/>
          <w:szCs w:val="20"/>
        </w:rPr>
        <w:t>% dei residenti in possesso di titolo terziario di secondo livello (Italia 54,7%) e il 5</w:t>
      </w:r>
      <w:r w:rsidR="000D28C8">
        <w:rPr>
          <w:rFonts w:ascii="Trebuchet MS" w:hAnsi="Trebuchet MS" w:cs="Arial"/>
          <w:color w:val="5F5F5F"/>
          <w:sz w:val="20"/>
          <w:szCs w:val="20"/>
        </w:rPr>
        <w:t>6</w:t>
      </w:r>
      <w:r w:rsidR="000D28C8" w:rsidRPr="00361C95">
        <w:rPr>
          <w:rFonts w:ascii="Trebuchet MS" w:hAnsi="Trebuchet MS" w:cs="Arial"/>
          <w:color w:val="5F5F5F"/>
          <w:sz w:val="20"/>
          <w:szCs w:val="20"/>
        </w:rPr>
        <w:t>,7% dei dottori di ricerca (Italia 51,9%).</w:t>
      </w:r>
    </w:p>
    <w:p w:rsidR="000D28C8" w:rsidRPr="00361C95" w:rsidRDefault="000D28C8" w:rsidP="000D28C8">
      <w:pPr>
        <w:spacing w:after="120"/>
        <w:jc w:val="both"/>
        <w:rPr>
          <w:rFonts w:ascii="Trebuchet MS" w:hAnsi="Trebuchet MS" w:cs="Arial"/>
          <w:color w:val="5F5F5F"/>
          <w:sz w:val="20"/>
          <w:szCs w:val="20"/>
        </w:rPr>
      </w:pPr>
      <w:r w:rsidRPr="00361C95">
        <w:rPr>
          <w:rFonts w:ascii="Trebuchet MS" w:hAnsi="Trebuchet MS" w:cs="Arial"/>
          <w:color w:val="5F5F5F"/>
          <w:sz w:val="20"/>
          <w:szCs w:val="20"/>
        </w:rPr>
        <w:t xml:space="preserve">Lo squilibrio di genere è più marcato tra i residenti senza titolo di studio o con al massimo </w:t>
      </w:r>
      <w:r w:rsidR="00283393" w:rsidRPr="00361C95">
        <w:rPr>
          <w:rFonts w:ascii="Trebuchet MS" w:hAnsi="Trebuchet MS" w:cs="Arial"/>
          <w:color w:val="5F5F5F"/>
          <w:sz w:val="20"/>
          <w:szCs w:val="20"/>
        </w:rPr>
        <w:t>un diploma</w:t>
      </w:r>
      <w:r w:rsidRPr="00361C95">
        <w:rPr>
          <w:rFonts w:ascii="Trebuchet MS" w:hAnsi="Trebuchet MS" w:cs="Arial"/>
          <w:color w:val="5F5F5F"/>
          <w:sz w:val="20"/>
          <w:szCs w:val="20"/>
        </w:rPr>
        <w:t xml:space="preserve"> di scuola secondaria di I grado. Le donne rappresentano il 6</w:t>
      </w:r>
      <w:r>
        <w:rPr>
          <w:rFonts w:ascii="Trebuchet MS" w:hAnsi="Trebuchet MS" w:cs="Arial"/>
          <w:color w:val="5F5F5F"/>
          <w:sz w:val="20"/>
          <w:szCs w:val="20"/>
        </w:rPr>
        <w:t>8</w:t>
      </w:r>
      <w:r w:rsidRPr="00361C95">
        <w:rPr>
          <w:rFonts w:ascii="Trebuchet MS" w:hAnsi="Trebuchet MS" w:cs="Arial"/>
          <w:color w:val="5F5F5F"/>
          <w:sz w:val="20"/>
          <w:szCs w:val="20"/>
        </w:rPr>
        <w:t>,</w:t>
      </w:r>
      <w:r>
        <w:rPr>
          <w:rFonts w:ascii="Trebuchet MS" w:hAnsi="Trebuchet MS" w:cs="Arial"/>
          <w:color w:val="5F5F5F"/>
          <w:sz w:val="20"/>
          <w:szCs w:val="20"/>
        </w:rPr>
        <w:t>4</w:t>
      </w:r>
      <w:r w:rsidRPr="00361C95">
        <w:rPr>
          <w:rFonts w:ascii="Trebuchet MS" w:hAnsi="Trebuchet MS" w:cs="Arial"/>
          <w:color w:val="5F5F5F"/>
          <w:sz w:val="20"/>
          <w:szCs w:val="20"/>
        </w:rPr>
        <w:t xml:space="preserve">% degli analfabeti (Italia 61,6%), il </w:t>
      </w:r>
      <w:r>
        <w:rPr>
          <w:rFonts w:ascii="Trebuchet MS" w:hAnsi="Trebuchet MS" w:cs="Arial"/>
          <w:color w:val="5F5F5F"/>
          <w:sz w:val="20"/>
          <w:szCs w:val="20"/>
        </w:rPr>
        <w:t>62,9</w:t>
      </w:r>
      <w:r w:rsidRPr="00361C95">
        <w:rPr>
          <w:rFonts w:ascii="Trebuchet MS" w:hAnsi="Trebuchet MS" w:cs="Arial"/>
          <w:color w:val="5F5F5F"/>
          <w:sz w:val="20"/>
          <w:szCs w:val="20"/>
        </w:rPr>
        <w:t xml:space="preserve">% degli alfabeti privi di titolo di studio (Italia 58,4%) e il </w:t>
      </w:r>
      <w:r>
        <w:rPr>
          <w:rFonts w:ascii="Trebuchet MS" w:hAnsi="Trebuchet MS" w:cs="Arial"/>
          <w:color w:val="5F5F5F"/>
          <w:sz w:val="20"/>
          <w:szCs w:val="20"/>
        </w:rPr>
        <w:t>56,7</w:t>
      </w:r>
      <w:r w:rsidRPr="00361C95">
        <w:rPr>
          <w:rFonts w:ascii="Trebuchet MS" w:hAnsi="Trebuchet MS" w:cs="Arial"/>
          <w:color w:val="5F5F5F"/>
          <w:sz w:val="20"/>
          <w:szCs w:val="20"/>
        </w:rPr>
        <w:t>% dei residenti in possesso della licenza elementare (Italia 58,5%); tra le persone che hanno conseguito il diploma di scuola media inferiore, invece, la quota delle donne si ferma al 4</w:t>
      </w:r>
      <w:r>
        <w:rPr>
          <w:rFonts w:ascii="Trebuchet MS" w:hAnsi="Trebuchet MS" w:cs="Arial"/>
          <w:color w:val="5F5F5F"/>
          <w:sz w:val="20"/>
          <w:szCs w:val="20"/>
        </w:rPr>
        <w:t>5,3</w:t>
      </w:r>
      <w:r w:rsidRPr="00361C95">
        <w:rPr>
          <w:rFonts w:ascii="Trebuchet MS" w:hAnsi="Trebuchet MS" w:cs="Arial"/>
          <w:color w:val="5F5F5F"/>
          <w:sz w:val="20"/>
          <w:szCs w:val="20"/>
        </w:rPr>
        <w:t xml:space="preserve">% (Italia 46,7%). </w:t>
      </w:r>
    </w:p>
    <w:p w:rsidR="000D28C8" w:rsidRPr="00361C95" w:rsidRDefault="000D28C8" w:rsidP="000D28C8">
      <w:pPr>
        <w:spacing w:after="120"/>
        <w:jc w:val="both"/>
        <w:rPr>
          <w:rFonts w:ascii="Trebuchet MS" w:hAnsi="Trebuchet MS" w:cs="Arial"/>
          <w:color w:val="5F5F5F"/>
          <w:sz w:val="20"/>
          <w:szCs w:val="20"/>
        </w:rPr>
      </w:pPr>
      <w:r w:rsidRPr="00361C95">
        <w:rPr>
          <w:rFonts w:ascii="Trebuchet MS" w:hAnsi="Trebuchet MS" w:cs="Arial"/>
          <w:color w:val="5F5F5F"/>
          <w:sz w:val="20"/>
          <w:szCs w:val="20"/>
        </w:rPr>
        <w:t>La distribuzione per genere è più equilibrata in corrispondenza dei diplomi di scuola secondaria di secondo grado o di qualifica professionale: le donne sono il 4</w:t>
      </w:r>
      <w:r>
        <w:rPr>
          <w:rFonts w:ascii="Trebuchet MS" w:hAnsi="Trebuchet MS" w:cs="Arial"/>
          <w:color w:val="5F5F5F"/>
          <w:sz w:val="20"/>
          <w:szCs w:val="20"/>
        </w:rPr>
        <w:t>8</w:t>
      </w:r>
      <w:r w:rsidRPr="00361C95">
        <w:rPr>
          <w:rFonts w:ascii="Trebuchet MS" w:hAnsi="Trebuchet MS" w:cs="Arial"/>
          <w:color w:val="5F5F5F"/>
          <w:sz w:val="20"/>
          <w:szCs w:val="20"/>
        </w:rPr>
        <w:t>,</w:t>
      </w:r>
      <w:r>
        <w:rPr>
          <w:rFonts w:ascii="Trebuchet MS" w:hAnsi="Trebuchet MS" w:cs="Arial"/>
          <w:color w:val="5F5F5F"/>
          <w:sz w:val="20"/>
          <w:szCs w:val="20"/>
        </w:rPr>
        <w:t>4</w:t>
      </w:r>
      <w:r w:rsidRPr="00361C95">
        <w:rPr>
          <w:rFonts w:ascii="Trebuchet MS" w:hAnsi="Trebuchet MS" w:cs="Arial"/>
          <w:color w:val="5F5F5F"/>
          <w:sz w:val="20"/>
          <w:szCs w:val="20"/>
        </w:rPr>
        <w:t xml:space="preserve">% dei diplomati contro il </w:t>
      </w:r>
      <w:r>
        <w:rPr>
          <w:rFonts w:ascii="Trebuchet MS" w:hAnsi="Trebuchet MS" w:cs="Arial"/>
          <w:color w:val="5F5F5F"/>
          <w:sz w:val="20"/>
          <w:szCs w:val="20"/>
        </w:rPr>
        <w:t>51,6</w:t>
      </w:r>
      <w:r w:rsidRPr="00361C95">
        <w:rPr>
          <w:rFonts w:ascii="Trebuchet MS" w:hAnsi="Trebuchet MS" w:cs="Arial"/>
          <w:color w:val="5F5F5F"/>
          <w:sz w:val="20"/>
          <w:szCs w:val="20"/>
        </w:rPr>
        <w:t>% dei maschi (rispettivamente 49,7% e 50,3% in Italia).</w:t>
      </w:r>
    </w:p>
    <w:p w:rsidR="001C591E" w:rsidRPr="00710C34" w:rsidRDefault="00334440" w:rsidP="004F2FB1">
      <w:pPr>
        <w:keepNext/>
        <w:keepLines/>
        <w:spacing w:before="240" w:after="120"/>
        <w:jc w:val="both"/>
        <w:rPr>
          <w:rFonts w:ascii="Arial Narrow" w:hAnsi="Arial Narrow" w:cs="Calibri"/>
          <w:color w:val="595959" w:themeColor="text1" w:themeTint="A6"/>
          <w:sz w:val="19"/>
          <w:szCs w:val="19"/>
        </w:rPr>
      </w:pPr>
      <w:r w:rsidRPr="00710C34">
        <w:rPr>
          <w:rFonts w:ascii="Arial Narrow" w:hAnsi="Arial Narrow"/>
          <w:b/>
          <w:bCs/>
          <w:color w:val="595959" w:themeColor="text1" w:themeTint="A6"/>
          <w:sz w:val="22"/>
          <w:szCs w:val="22"/>
        </w:rPr>
        <w:lastRenderedPageBreak/>
        <w:t>FIGURA</w:t>
      </w:r>
      <w:r w:rsidR="00A93CA6" w:rsidRPr="00710C34">
        <w:rPr>
          <w:rFonts w:ascii="Arial Narrow" w:hAnsi="Arial Narrow"/>
          <w:b/>
          <w:bCs/>
          <w:color w:val="595959" w:themeColor="text1" w:themeTint="A6"/>
          <w:sz w:val="22"/>
          <w:szCs w:val="22"/>
        </w:rPr>
        <w:t>11</w:t>
      </w:r>
      <w:r w:rsidRPr="00710C34">
        <w:rPr>
          <w:rFonts w:ascii="Arial Narrow" w:hAnsi="Arial Narrow" w:cs="Calibri"/>
          <w:b/>
          <w:bCs/>
          <w:color w:val="595959" w:themeColor="text1" w:themeTint="A6"/>
          <w:sz w:val="20"/>
          <w:szCs w:val="20"/>
        </w:rPr>
        <w:t xml:space="preserve">. </w:t>
      </w:r>
      <w:r w:rsidRPr="00710C34">
        <w:rPr>
          <w:rFonts w:ascii="Arial Narrow" w:hAnsi="Arial Narrow"/>
          <w:color w:val="595959" w:themeColor="text1" w:themeTint="A6"/>
          <w:sz w:val="22"/>
          <w:szCs w:val="22"/>
        </w:rPr>
        <w:t>POPOLAZIONE DI 9 ANNI E PI</w:t>
      </w:r>
      <w:r w:rsidR="003F2562">
        <w:rPr>
          <w:rFonts w:ascii="Arial Narrow" w:hAnsi="Arial Narrow"/>
          <w:color w:val="595959" w:themeColor="text1" w:themeTint="A6"/>
          <w:sz w:val="22"/>
          <w:szCs w:val="22"/>
        </w:rPr>
        <w:t>Ù</w:t>
      </w:r>
      <w:r w:rsidRPr="00710C34">
        <w:rPr>
          <w:rFonts w:ascii="Arial Narrow" w:hAnsi="Arial Narrow"/>
          <w:color w:val="595959" w:themeColor="text1" w:themeTint="A6"/>
          <w:sz w:val="22"/>
          <w:szCs w:val="22"/>
        </w:rPr>
        <w:t xml:space="preserve"> PER GRADO DI ISTRUZIONE E GENERE. </w:t>
      </w:r>
      <w:r w:rsidR="002F22AC">
        <w:rPr>
          <w:rFonts w:ascii="Arial Narrow" w:hAnsi="Arial Narrow"/>
          <w:color w:val="595959" w:themeColor="text1" w:themeTint="A6"/>
          <w:sz w:val="22"/>
          <w:szCs w:val="22"/>
        </w:rPr>
        <w:t>BASILICATA</w:t>
      </w:r>
      <w:r w:rsidRPr="00710C34">
        <w:rPr>
          <w:rFonts w:ascii="Arial Narrow" w:hAnsi="Arial Narrow"/>
          <w:color w:val="595959" w:themeColor="text1" w:themeTint="A6"/>
          <w:sz w:val="22"/>
          <w:szCs w:val="22"/>
        </w:rPr>
        <w:t>E ITALIA</w:t>
      </w:r>
      <w:r w:rsidRPr="00710C34">
        <w:rPr>
          <w:rFonts w:ascii="Arial Narrow" w:hAnsi="Arial Narrow" w:cs="Arial Narrow"/>
          <w:color w:val="595959" w:themeColor="text1" w:themeTint="A6"/>
          <w:sz w:val="22"/>
          <w:szCs w:val="22"/>
        </w:rPr>
        <w:t>.</w:t>
      </w:r>
      <w:r w:rsidRPr="00710C34">
        <w:rPr>
          <w:rFonts w:ascii="Arial Narrow" w:hAnsi="Arial Narrow" w:cs="Calibri"/>
          <w:color w:val="595959" w:themeColor="text1" w:themeTint="A6"/>
          <w:sz w:val="19"/>
          <w:szCs w:val="19"/>
        </w:rPr>
        <w:t>Anno 2019. Composizione percentuale</w:t>
      </w:r>
    </w:p>
    <w:p w:rsidR="00334440" w:rsidRPr="00EE63DA" w:rsidRDefault="000D28C8" w:rsidP="00D9185A">
      <w:pPr>
        <w:spacing w:after="120"/>
        <w:rPr>
          <w:rFonts w:ascii="Arial" w:eastAsiaTheme="minorHAnsi" w:hAnsi="Arial" w:cs="Arial"/>
          <w:sz w:val="20"/>
          <w:szCs w:val="20"/>
          <w:lang w:eastAsia="en-US"/>
        </w:rPr>
      </w:pPr>
      <w:r>
        <w:rPr>
          <w:noProof/>
        </w:rPr>
        <w:drawing>
          <wp:inline distT="0" distB="0" distL="0" distR="0">
            <wp:extent cx="6120130" cy="2159635"/>
            <wp:effectExtent l="0" t="0" r="13970" b="12065"/>
            <wp:docPr id="5" name="Grafico 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1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531E0" w:rsidRPr="00E072ED" w:rsidRDefault="00D531E0" w:rsidP="0000403D">
      <w:pPr>
        <w:spacing w:before="480" w:after="120"/>
        <w:jc w:val="both"/>
        <w:rPr>
          <w:rFonts w:ascii="Trebuchet MS" w:hAnsi="Trebuchet MS" w:cs="Arial"/>
          <w:b/>
          <w:color w:val="5F5F5F"/>
          <w:kern w:val="28"/>
          <w:sz w:val="22"/>
          <w:szCs w:val="22"/>
        </w:rPr>
      </w:pPr>
      <w:r w:rsidRPr="00E072ED">
        <w:rPr>
          <w:rFonts w:ascii="Trebuchet MS" w:hAnsi="Trebuchet MS" w:cs="Arial"/>
          <w:b/>
          <w:color w:val="5F5F5F"/>
          <w:kern w:val="28"/>
          <w:sz w:val="22"/>
          <w:szCs w:val="22"/>
        </w:rPr>
        <w:t>La condizione professionale</w:t>
      </w:r>
    </w:p>
    <w:p w:rsidR="00D531E0" w:rsidRDefault="000D28C8" w:rsidP="005E30E7">
      <w:pPr>
        <w:keepNext/>
        <w:keepLines/>
        <w:spacing w:after="120"/>
        <w:jc w:val="both"/>
        <w:rPr>
          <w:rFonts w:ascii="Trebuchet MS" w:hAnsi="Trebuchet MS" w:cs="Arial"/>
          <w:color w:val="5F5F5F"/>
          <w:sz w:val="20"/>
          <w:szCs w:val="20"/>
        </w:rPr>
      </w:pPr>
      <w:r w:rsidRPr="000D28C8">
        <w:rPr>
          <w:rFonts w:ascii="Trebuchet MS" w:hAnsi="Trebuchet MS" w:cs="Arial"/>
          <w:color w:val="5F5F5F"/>
          <w:sz w:val="20"/>
          <w:szCs w:val="20"/>
        </w:rPr>
        <w:t>Al 31 dicembre 2019, le forze di lavoro sono 2</w:t>
      </w:r>
      <w:r w:rsidR="003F2562">
        <w:rPr>
          <w:rFonts w:ascii="Trebuchet MS" w:hAnsi="Trebuchet MS" w:cs="Arial"/>
          <w:color w:val="5F5F5F"/>
          <w:sz w:val="20"/>
          <w:szCs w:val="20"/>
        </w:rPr>
        <w:t>43 mila</w:t>
      </w:r>
      <w:r w:rsidRPr="000D28C8">
        <w:rPr>
          <w:rFonts w:ascii="Trebuchet MS" w:hAnsi="Trebuchet MS" w:cs="Arial"/>
          <w:color w:val="5F5F5F"/>
          <w:sz w:val="20"/>
          <w:szCs w:val="20"/>
        </w:rPr>
        <w:t xml:space="preserve">, </w:t>
      </w:r>
      <w:r w:rsidR="003F2562">
        <w:rPr>
          <w:rFonts w:ascii="Trebuchet MS" w:hAnsi="Trebuchet MS" w:cs="Arial"/>
          <w:color w:val="5F5F5F"/>
          <w:sz w:val="20"/>
          <w:szCs w:val="20"/>
        </w:rPr>
        <w:t>5</w:t>
      </w:r>
      <w:r w:rsidRPr="000D28C8">
        <w:rPr>
          <w:rFonts w:ascii="Trebuchet MS" w:hAnsi="Trebuchet MS" w:cs="Arial"/>
          <w:color w:val="5F5F5F"/>
          <w:sz w:val="20"/>
          <w:szCs w:val="20"/>
        </w:rPr>
        <w:t xml:space="preserve"> mila in più rispetto al 2011 (+</w:t>
      </w:r>
      <w:r w:rsidR="003F2562">
        <w:rPr>
          <w:rFonts w:ascii="Trebuchet MS" w:hAnsi="Trebuchet MS" w:cs="Arial"/>
          <w:color w:val="5F5F5F"/>
          <w:sz w:val="20"/>
          <w:szCs w:val="20"/>
        </w:rPr>
        <w:t>2,1</w:t>
      </w:r>
      <w:r w:rsidRPr="000D28C8">
        <w:rPr>
          <w:rFonts w:ascii="Trebuchet MS" w:hAnsi="Trebuchet MS" w:cs="Arial"/>
          <w:color w:val="5F5F5F"/>
          <w:sz w:val="20"/>
          <w:szCs w:val="20"/>
        </w:rPr>
        <w:t>%). L’incremento delle persone attive sul mercato del lavoro è dovuto alla crescita degli occupati (+</w:t>
      </w:r>
      <w:r w:rsidR="003F2562">
        <w:rPr>
          <w:rFonts w:ascii="Trebuchet MS" w:hAnsi="Trebuchet MS" w:cs="Arial"/>
          <w:color w:val="5F5F5F"/>
          <w:sz w:val="20"/>
          <w:szCs w:val="20"/>
        </w:rPr>
        <w:t>2,3</w:t>
      </w:r>
      <w:r w:rsidRPr="000D28C8">
        <w:rPr>
          <w:rFonts w:ascii="Trebuchet MS" w:hAnsi="Trebuchet MS" w:cs="Arial"/>
          <w:color w:val="5F5F5F"/>
          <w:sz w:val="20"/>
          <w:szCs w:val="20"/>
        </w:rPr>
        <w:t>%), soprattutto fra le donne (+</w:t>
      </w:r>
      <w:r w:rsidR="003F2562">
        <w:rPr>
          <w:rFonts w:ascii="Trebuchet MS" w:hAnsi="Trebuchet MS" w:cs="Arial"/>
          <w:color w:val="5F5F5F"/>
          <w:sz w:val="20"/>
          <w:szCs w:val="20"/>
        </w:rPr>
        <w:t>5,8</w:t>
      </w:r>
      <w:r w:rsidRPr="000D28C8">
        <w:rPr>
          <w:rFonts w:ascii="Trebuchet MS" w:hAnsi="Trebuchet MS" w:cs="Arial"/>
          <w:color w:val="5F5F5F"/>
          <w:sz w:val="20"/>
          <w:szCs w:val="20"/>
        </w:rPr>
        <w:t xml:space="preserve">%). </w:t>
      </w:r>
      <w:r w:rsidR="003F2562">
        <w:rPr>
          <w:rFonts w:ascii="Trebuchet MS" w:hAnsi="Trebuchet MS" w:cs="Arial"/>
          <w:color w:val="5F5F5F"/>
          <w:sz w:val="20"/>
          <w:szCs w:val="20"/>
        </w:rPr>
        <w:t>Stabile</w:t>
      </w:r>
      <w:r w:rsidRPr="000D28C8">
        <w:rPr>
          <w:rFonts w:ascii="Trebuchet MS" w:hAnsi="Trebuchet MS" w:cs="Arial"/>
          <w:color w:val="5F5F5F"/>
          <w:sz w:val="20"/>
          <w:szCs w:val="20"/>
        </w:rPr>
        <w:t xml:space="preserve"> il numero delle persone in cerca di occupazione, nel 2019 sono </w:t>
      </w:r>
      <w:r w:rsidR="001A587A">
        <w:rPr>
          <w:rFonts w:ascii="Trebuchet MS" w:hAnsi="Trebuchet MS" w:cs="Arial"/>
          <w:color w:val="5F5F5F"/>
          <w:sz w:val="20"/>
          <w:szCs w:val="20"/>
        </w:rPr>
        <w:t>40.997</w:t>
      </w:r>
      <w:r w:rsidRPr="000D28C8">
        <w:rPr>
          <w:rFonts w:ascii="Trebuchet MS" w:hAnsi="Trebuchet MS" w:cs="Arial"/>
          <w:color w:val="5F5F5F"/>
          <w:sz w:val="20"/>
          <w:szCs w:val="20"/>
        </w:rPr>
        <w:t xml:space="preserve">, </w:t>
      </w:r>
      <w:r w:rsidR="001A587A">
        <w:rPr>
          <w:rFonts w:ascii="Trebuchet MS" w:hAnsi="Trebuchet MS" w:cs="Arial"/>
          <w:color w:val="5F5F5F"/>
          <w:sz w:val="20"/>
          <w:szCs w:val="20"/>
        </w:rPr>
        <w:t>370 inpiù</w:t>
      </w:r>
      <w:r w:rsidRPr="000D28C8">
        <w:rPr>
          <w:rFonts w:ascii="Trebuchet MS" w:hAnsi="Trebuchet MS" w:cs="Arial"/>
          <w:color w:val="5F5F5F"/>
          <w:sz w:val="20"/>
          <w:szCs w:val="20"/>
        </w:rPr>
        <w:t xml:space="preserve"> rispetto al precedente censimento (</w:t>
      </w:r>
      <w:r w:rsidR="001A587A">
        <w:rPr>
          <w:rFonts w:ascii="Trebuchet MS" w:hAnsi="Trebuchet MS" w:cs="Arial"/>
          <w:color w:val="5F5F5F"/>
          <w:sz w:val="20"/>
          <w:szCs w:val="20"/>
        </w:rPr>
        <w:t>+0,9</w:t>
      </w:r>
      <w:r w:rsidRPr="00F77395">
        <w:rPr>
          <w:rFonts w:ascii="Trebuchet MS" w:hAnsi="Trebuchet MS" w:cs="Arial"/>
          <w:color w:val="5F5F5F"/>
          <w:sz w:val="20"/>
          <w:szCs w:val="20"/>
        </w:rPr>
        <w:t xml:space="preserve">%). Tra le non forze di lavoro si contano </w:t>
      </w:r>
      <w:r w:rsidR="00F77395" w:rsidRPr="00F77395">
        <w:rPr>
          <w:rFonts w:ascii="Trebuchet MS" w:hAnsi="Trebuchet MS" w:cs="Arial"/>
          <w:color w:val="5F5F5F"/>
          <w:sz w:val="20"/>
          <w:szCs w:val="20"/>
        </w:rPr>
        <w:t>106</w:t>
      </w:r>
      <w:r w:rsidRPr="00F77395">
        <w:rPr>
          <w:rFonts w:ascii="Trebuchet MS" w:hAnsi="Trebuchet MS" w:cs="Arial"/>
          <w:color w:val="5F5F5F"/>
          <w:sz w:val="20"/>
          <w:szCs w:val="20"/>
        </w:rPr>
        <w:t xml:space="preserve"> mila percettori di pensioni da lavoro o di rendite da capitali (-</w:t>
      </w:r>
      <w:r w:rsidR="00F77395" w:rsidRPr="00F77395">
        <w:rPr>
          <w:rFonts w:ascii="Trebuchet MS" w:hAnsi="Trebuchet MS" w:cs="Arial"/>
          <w:color w:val="5F5F5F"/>
          <w:sz w:val="20"/>
          <w:szCs w:val="20"/>
        </w:rPr>
        <w:t>15,5</w:t>
      </w:r>
      <w:r w:rsidRPr="00F77395">
        <w:rPr>
          <w:rFonts w:ascii="Trebuchet MS" w:hAnsi="Trebuchet MS" w:cs="Arial"/>
          <w:color w:val="5F5F5F"/>
          <w:sz w:val="20"/>
          <w:szCs w:val="20"/>
        </w:rPr>
        <w:t xml:space="preserve">% rispetto al 2011), </w:t>
      </w:r>
      <w:r w:rsidR="00F77395" w:rsidRPr="00F77395">
        <w:rPr>
          <w:rFonts w:ascii="Trebuchet MS" w:hAnsi="Trebuchet MS" w:cs="Arial"/>
          <w:color w:val="5F5F5F"/>
          <w:sz w:val="20"/>
          <w:szCs w:val="20"/>
        </w:rPr>
        <w:t>57</w:t>
      </w:r>
      <w:r w:rsidRPr="00F77395">
        <w:rPr>
          <w:rFonts w:ascii="Trebuchet MS" w:hAnsi="Trebuchet MS" w:cs="Arial"/>
          <w:color w:val="5F5F5F"/>
          <w:sz w:val="20"/>
          <w:szCs w:val="20"/>
        </w:rPr>
        <w:t xml:space="preserve"> mila persone dedite alla cura della casa (-3</w:t>
      </w:r>
      <w:r w:rsidR="00F77395" w:rsidRPr="00F77395">
        <w:rPr>
          <w:rFonts w:ascii="Trebuchet MS" w:hAnsi="Trebuchet MS" w:cs="Arial"/>
          <w:color w:val="5F5F5F"/>
          <w:sz w:val="20"/>
          <w:szCs w:val="20"/>
        </w:rPr>
        <w:t>,0</w:t>
      </w:r>
      <w:r w:rsidRPr="00F77395">
        <w:rPr>
          <w:rFonts w:ascii="Trebuchet MS" w:hAnsi="Trebuchet MS" w:cs="Arial"/>
          <w:color w:val="5F5F5F"/>
          <w:sz w:val="20"/>
          <w:szCs w:val="20"/>
        </w:rPr>
        <w:t>%), 44 mila studenti (</w:t>
      </w:r>
      <w:r w:rsidR="00FA5604">
        <w:rPr>
          <w:rFonts w:ascii="Trebuchet MS" w:hAnsi="Trebuchet MS" w:cs="Arial"/>
          <w:color w:val="5F5F5F"/>
          <w:sz w:val="20"/>
          <w:szCs w:val="20"/>
        </w:rPr>
        <w:t>-</w:t>
      </w:r>
      <w:r w:rsidR="00F77395" w:rsidRPr="00F77395">
        <w:rPr>
          <w:rFonts w:ascii="Trebuchet MS" w:hAnsi="Trebuchet MS" w:cs="Arial"/>
          <w:color w:val="5F5F5F"/>
          <w:sz w:val="20"/>
          <w:szCs w:val="20"/>
        </w:rPr>
        <w:t>7,6</w:t>
      </w:r>
      <w:r w:rsidRPr="00F77395">
        <w:rPr>
          <w:rFonts w:ascii="Trebuchet MS" w:hAnsi="Trebuchet MS" w:cs="Arial"/>
          <w:color w:val="5F5F5F"/>
          <w:sz w:val="20"/>
          <w:szCs w:val="20"/>
        </w:rPr>
        <w:t xml:space="preserve">%) e </w:t>
      </w:r>
      <w:r w:rsidR="00F77395" w:rsidRPr="00F77395">
        <w:rPr>
          <w:rFonts w:ascii="Trebuchet MS" w:hAnsi="Trebuchet MS" w:cs="Arial"/>
          <w:color w:val="5F5F5F"/>
          <w:sz w:val="20"/>
          <w:szCs w:val="20"/>
        </w:rPr>
        <w:t>38</w:t>
      </w:r>
      <w:r w:rsidRPr="00F77395">
        <w:rPr>
          <w:rFonts w:ascii="Trebuchet MS" w:hAnsi="Trebuchet MS" w:cs="Arial"/>
          <w:color w:val="5F5F5F"/>
          <w:sz w:val="20"/>
          <w:szCs w:val="20"/>
        </w:rPr>
        <w:t xml:space="preserve"> mila persone in altra condizione (+</w:t>
      </w:r>
      <w:r w:rsidR="00F77395" w:rsidRPr="00F77395">
        <w:rPr>
          <w:rFonts w:ascii="Trebuchet MS" w:hAnsi="Trebuchet MS" w:cs="Arial"/>
          <w:color w:val="5F5F5F"/>
          <w:sz w:val="20"/>
          <w:szCs w:val="20"/>
        </w:rPr>
        <w:t>22</w:t>
      </w:r>
      <w:r w:rsidRPr="00F77395">
        <w:rPr>
          <w:rFonts w:ascii="Trebuchet MS" w:hAnsi="Trebuchet MS" w:cs="Arial"/>
          <w:color w:val="5F5F5F"/>
          <w:sz w:val="20"/>
          <w:szCs w:val="20"/>
        </w:rPr>
        <w:t>,8%).</w:t>
      </w:r>
    </w:p>
    <w:p w:rsidR="0000403D" w:rsidRDefault="0000403D" w:rsidP="005E30E7">
      <w:pPr>
        <w:keepNext/>
        <w:keepLines/>
        <w:spacing w:after="120"/>
        <w:jc w:val="both"/>
        <w:rPr>
          <w:rFonts w:ascii="Trebuchet MS" w:hAnsi="Trebuchet MS" w:cs="Arial"/>
          <w:color w:val="5F5F5F"/>
          <w:sz w:val="20"/>
          <w:szCs w:val="20"/>
        </w:rPr>
      </w:pPr>
    </w:p>
    <w:p w:rsidR="00D531E0" w:rsidRPr="00710C34" w:rsidRDefault="00D531E0" w:rsidP="004F2FB1">
      <w:pPr>
        <w:spacing w:before="240" w:after="60"/>
        <w:jc w:val="both"/>
        <w:rPr>
          <w:rFonts w:ascii="Arial" w:hAnsi="Arial" w:cs="Arial"/>
          <w:iCs/>
          <w:color w:val="595959" w:themeColor="text1" w:themeTint="A6"/>
          <w:sz w:val="20"/>
          <w:szCs w:val="20"/>
        </w:rPr>
      </w:pPr>
      <w:r w:rsidRPr="00710C34">
        <w:rPr>
          <w:rFonts w:ascii="Arial Narrow" w:hAnsi="Arial Narrow"/>
          <w:b/>
          <w:bCs/>
          <w:color w:val="595959" w:themeColor="text1" w:themeTint="A6"/>
          <w:sz w:val="22"/>
          <w:szCs w:val="22"/>
        </w:rPr>
        <w:t>PROSPETTO 10.</w:t>
      </w:r>
      <w:r w:rsidRPr="00710C34">
        <w:rPr>
          <w:rFonts w:ascii="Arial Narrow" w:hAnsi="Arial Narrow"/>
          <w:color w:val="595959" w:themeColor="text1" w:themeTint="A6"/>
          <w:sz w:val="22"/>
          <w:szCs w:val="22"/>
        </w:rPr>
        <w:t xml:space="preserve">POPOLAZIONE RESIDENTE </w:t>
      </w:r>
      <w:r w:rsidR="003F2562" w:rsidRPr="003F2562">
        <w:rPr>
          <w:rFonts w:ascii="Arial Narrow" w:hAnsi="Arial Narrow"/>
          <w:color w:val="595959" w:themeColor="text1" w:themeTint="A6"/>
          <w:sz w:val="22"/>
          <w:szCs w:val="22"/>
        </w:rPr>
        <w:t>DI 15 ANNI E PIÙ</w:t>
      </w:r>
      <w:r w:rsidRPr="00710C34">
        <w:rPr>
          <w:rFonts w:ascii="Arial Narrow" w:hAnsi="Arial Narrow"/>
          <w:color w:val="595959" w:themeColor="text1" w:themeTint="A6"/>
          <w:sz w:val="22"/>
          <w:szCs w:val="22"/>
        </w:rPr>
        <w:t>PER CONDIZIONE PROFESSIONALE O NON PROFESSIONALE</w:t>
      </w:r>
      <w:r w:rsidRPr="00710C34">
        <w:rPr>
          <w:rFonts w:ascii="Arial Narrow" w:hAnsi="Arial Narrow"/>
          <w:color w:val="595959" w:themeColor="text1" w:themeTint="A6"/>
          <w:sz w:val="20"/>
          <w:szCs w:val="20"/>
        </w:rPr>
        <w:t xml:space="preserve">. </w:t>
      </w:r>
      <w:r w:rsidR="00D5536E" w:rsidRPr="00710C34">
        <w:rPr>
          <w:rFonts w:ascii="Arial Narrow" w:hAnsi="Arial Narrow"/>
          <w:color w:val="595959" w:themeColor="text1" w:themeTint="A6"/>
          <w:sz w:val="20"/>
          <w:szCs w:val="20"/>
        </w:rPr>
        <w:t>Censimenti</w:t>
      </w:r>
      <w:r w:rsidRPr="00710C34">
        <w:rPr>
          <w:rFonts w:ascii="Arial Narrow" w:hAnsi="Arial Narrow"/>
          <w:color w:val="595959" w:themeColor="text1" w:themeTint="A6"/>
          <w:sz w:val="20"/>
          <w:szCs w:val="20"/>
        </w:rPr>
        <w:t xml:space="preserve"> 2019, 2018 </w:t>
      </w:r>
      <w:r w:rsidR="00AA1F8E">
        <w:rPr>
          <w:rFonts w:ascii="Arial Narrow" w:hAnsi="Arial Narrow"/>
          <w:color w:val="595959" w:themeColor="text1" w:themeTint="A6"/>
          <w:sz w:val="20"/>
          <w:szCs w:val="20"/>
        </w:rPr>
        <w:t>e</w:t>
      </w:r>
      <w:r w:rsidRPr="00710C34">
        <w:rPr>
          <w:rFonts w:ascii="Arial Narrow" w:hAnsi="Arial Narrow"/>
          <w:color w:val="595959" w:themeColor="text1" w:themeTint="A6"/>
          <w:sz w:val="20"/>
          <w:szCs w:val="20"/>
        </w:rPr>
        <w:t>2011</w:t>
      </w:r>
    </w:p>
    <w:tbl>
      <w:tblPr>
        <w:tblW w:w="5000" w:type="pct"/>
        <w:tblBorders>
          <w:top w:val="single" w:sz="4" w:space="0" w:color="auto"/>
          <w:bottom w:val="single" w:sz="4" w:space="0" w:color="auto"/>
          <w:insideH w:val="single" w:sz="4" w:space="0" w:color="auto"/>
        </w:tblBorders>
        <w:tblCellMar>
          <w:left w:w="70" w:type="dxa"/>
          <w:right w:w="70" w:type="dxa"/>
        </w:tblCellMar>
        <w:tblLook w:val="04A0"/>
      </w:tblPr>
      <w:tblGrid>
        <w:gridCol w:w="2431"/>
        <w:gridCol w:w="820"/>
        <w:gridCol w:w="820"/>
        <w:gridCol w:w="820"/>
        <w:gridCol w:w="820"/>
        <w:gridCol w:w="810"/>
        <w:gridCol w:w="797"/>
        <w:gridCol w:w="820"/>
        <w:gridCol w:w="820"/>
        <w:gridCol w:w="820"/>
      </w:tblGrid>
      <w:tr w:rsidR="002F22AC" w:rsidTr="006421AF">
        <w:trPr>
          <w:trHeight w:val="255"/>
        </w:trPr>
        <w:tc>
          <w:tcPr>
            <w:tcW w:w="2620" w:type="dxa"/>
            <w:vMerge w:val="restart"/>
            <w:shd w:val="clear" w:color="auto" w:fill="auto"/>
            <w:vAlign w:val="center"/>
            <w:hideMark/>
          </w:tcPr>
          <w:p w:rsidR="002F22AC" w:rsidRDefault="002F22AC" w:rsidP="006421AF">
            <w:pPr>
              <w:spacing w:before="40" w:after="20"/>
              <w:rPr>
                <w:rFonts w:ascii="Arial Narrow" w:hAnsi="Arial Narrow" w:cs="Calibri"/>
                <w:b/>
                <w:bCs/>
                <w:color w:val="000000"/>
                <w:sz w:val="18"/>
                <w:szCs w:val="18"/>
              </w:rPr>
            </w:pPr>
            <w:r>
              <w:rPr>
                <w:rFonts w:ascii="Arial Narrow" w:hAnsi="Arial Narrow" w:cs="Calibri"/>
                <w:b/>
                <w:bCs/>
                <w:color w:val="000000"/>
                <w:sz w:val="18"/>
                <w:szCs w:val="18"/>
              </w:rPr>
              <w:t xml:space="preserve">CONDIZIONE PROFESSIONALE O NON PROFESSIONALE </w:t>
            </w:r>
          </w:p>
        </w:tc>
        <w:tc>
          <w:tcPr>
            <w:tcW w:w="2460" w:type="dxa"/>
            <w:gridSpan w:val="3"/>
            <w:shd w:val="clear" w:color="000000" w:fill="D9D9D9"/>
            <w:noWrap/>
            <w:vAlign w:val="center"/>
            <w:hideMark/>
          </w:tcPr>
          <w:p w:rsidR="002F22AC" w:rsidRPr="004F2FB1" w:rsidRDefault="002F22AC" w:rsidP="006421AF">
            <w:pPr>
              <w:spacing w:before="40" w:after="20"/>
              <w:jc w:val="center"/>
              <w:rPr>
                <w:rFonts w:ascii="Arial Narrow" w:hAnsi="Arial Narrow" w:cs="Calibri"/>
                <w:b/>
                <w:bCs/>
                <w:color w:val="000000"/>
                <w:sz w:val="18"/>
                <w:szCs w:val="18"/>
              </w:rPr>
            </w:pPr>
            <w:r w:rsidRPr="004F2FB1">
              <w:rPr>
                <w:rFonts w:ascii="Arial Narrow" w:hAnsi="Arial Narrow" w:cs="Calibri"/>
                <w:b/>
                <w:bCs/>
                <w:color w:val="000000"/>
                <w:sz w:val="18"/>
                <w:szCs w:val="18"/>
              </w:rPr>
              <w:t>2019</w:t>
            </w:r>
          </w:p>
        </w:tc>
        <w:tc>
          <w:tcPr>
            <w:tcW w:w="2460" w:type="dxa"/>
            <w:gridSpan w:val="3"/>
            <w:shd w:val="clear" w:color="000000" w:fill="FFFFFF"/>
            <w:vAlign w:val="center"/>
            <w:hideMark/>
          </w:tcPr>
          <w:p w:rsidR="002F22AC" w:rsidRPr="004F2FB1" w:rsidRDefault="002F22AC" w:rsidP="006421AF">
            <w:pPr>
              <w:spacing w:before="40" w:after="20"/>
              <w:jc w:val="center"/>
              <w:rPr>
                <w:rFonts w:ascii="Arial Narrow" w:hAnsi="Arial Narrow" w:cs="Calibri"/>
                <w:b/>
                <w:bCs/>
                <w:color w:val="000000"/>
                <w:sz w:val="18"/>
                <w:szCs w:val="18"/>
              </w:rPr>
            </w:pPr>
            <w:r w:rsidRPr="004F2FB1">
              <w:rPr>
                <w:rFonts w:ascii="Arial Narrow" w:hAnsi="Arial Narrow" w:cs="Calibri"/>
                <w:b/>
                <w:bCs/>
                <w:color w:val="000000"/>
                <w:sz w:val="18"/>
                <w:szCs w:val="18"/>
              </w:rPr>
              <w:t>2018</w:t>
            </w:r>
          </w:p>
        </w:tc>
        <w:tc>
          <w:tcPr>
            <w:tcW w:w="2460" w:type="dxa"/>
            <w:gridSpan w:val="3"/>
            <w:shd w:val="clear" w:color="000000" w:fill="D9D9D9"/>
            <w:vAlign w:val="center"/>
            <w:hideMark/>
          </w:tcPr>
          <w:p w:rsidR="002F22AC" w:rsidRPr="004F2FB1" w:rsidRDefault="002F22AC" w:rsidP="006421AF">
            <w:pPr>
              <w:spacing w:before="40" w:after="20"/>
              <w:jc w:val="center"/>
              <w:rPr>
                <w:rFonts w:ascii="Arial Narrow" w:hAnsi="Arial Narrow" w:cs="Calibri"/>
                <w:b/>
                <w:bCs/>
                <w:color w:val="000000"/>
                <w:sz w:val="18"/>
                <w:szCs w:val="18"/>
              </w:rPr>
            </w:pPr>
            <w:r w:rsidRPr="004F2FB1">
              <w:rPr>
                <w:rFonts w:ascii="Arial Narrow" w:hAnsi="Arial Narrow" w:cs="Calibri"/>
                <w:b/>
                <w:bCs/>
                <w:color w:val="000000"/>
                <w:sz w:val="18"/>
                <w:szCs w:val="18"/>
              </w:rPr>
              <w:t>2011</w:t>
            </w:r>
          </w:p>
        </w:tc>
      </w:tr>
      <w:tr w:rsidR="002F22AC" w:rsidTr="006421AF">
        <w:trPr>
          <w:trHeight w:val="255"/>
        </w:trPr>
        <w:tc>
          <w:tcPr>
            <w:tcW w:w="2620" w:type="dxa"/>
            <w:vMerge/>
            <w:vAlign w:val="center"/>
            <w:hideMark/>
          </w:tcPr>
          <w:p w:rsidR="002F22AC" w:rsidRDefault="002F22AC" w:rsidP="006421AF">
            <w:pPr>
              <w:spacing w:before="40" w:after="20"/>
              <w:rPr>
                <w:rFonts w:ascii="Arial Narrow" w:hAnsi="Arial Narrow" w:cs="Calibri"/>
                <w:b/>
                <w:bCs/>
                <w:color w:val="000000"/>
                <w:sz w:val="18"/>
                <w:szCs w:val="18"/>
              </w:rPr>
            </w:pPr>
          </w:p>
        </w:tc>
        <w:tc>
          <w:tcPr>
            <w:tcW w:w="820" w:type="dxa"/>
            <w:shd w:val="clear" w:color="auto" w:fill="auto"/>
            <w:noWrap/>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Maschi</w:t>
            </w:r>
          </w:p>
        </w:tc>
        <w:tc>
          <w:tcPr>
            <w:tcW w:w="820" w:type="dxa"/>
            <w:shd w:val="clear" w:color="auto" w:fill="auto"/>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Femmine</w:t>
            </w:r>
          </w:p>
        </w:tc>
        <w:tc>
          <w:tcPr>
            <w:tcW w:w="820" w:type="dxa"/>
            <w:shd w:val="clear" w:color="auto" w:fill="auto"/>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Totale</w:t>
            </w:r>
          </w:p>
        </w:tc>
        <w:tc>
          <w:tcPr>
            <w:tcW w:w="820" w:type="dxa"/>
            <w:shd w:val="clear" w:color="auto" w:fill="auto"/>
            <w:noWrap/>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Maschi</w:t>
            </w:r>
          </w:p>
        </w:tc>
        <w:tc>
          <w:tcPr>
            <w:tcW w:w="820" w:type="dxa"/>
            <w:shd w:val="clear" w:color="auto" w:fill="auto"/>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Femmine</w:t>
            </w:r>
          </w:p>
        </w:tc>
        <w:tc>
          <w:tcPr>
            <w:tcW w:w="820" w:type="dxa"/>
            <w:shd w:val="clear" w:color="auto" w:fill="auto"/>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Totale</w:t>
            </w:r>
          </w:p>
        </w:tc>
        <w:tc>
          <w:tcPr>
            <w:tcW w:w="820" w:type="dxa"/>
            <w:shd w:val="clear" w:color="auto" w:fill="auto"/>
            <w:noWrap/>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Maschi</w:t>
            </w:r>
          </w:p>
        </w:tc>
        <w:tc>
          <w:tcPr>
            <w:tcW w:w="820" w:type="dxa"/>
            <w:shd w:val="clear" w:color="auto" w:fill="auto"/>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Femmine</w:t>
            </w:r>
          </w:p>
        </w:tc>
        <w:tc>
          <w:tcPr>
            <w:tcW w:w="820" w:type="dxa"/>
            <w:shd w:val="clear" w:color="auto" w:fill="auto"/>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Totale</w:t>
            </w:r>
          </w:p>
        </w:tc>
      </w:tr>
      <w:tr w:rsidR="002F22AC" w:rsidTr="006421AF">
        <w:trPr>
          <w:trHeight w:val="255"/>
        </w:trPr>
        <w:tc>
          <w:tcPr>
            <w:tcW w:w="2620" w:type="dxa"/>
            <w:shd w:val="clear" w:color="auto" w:fill="auto"/>
            <w:vAlign w:val="center"/>
            <w:hideMark/>
          </w:tcPr>
          <w:p w:rsidR="002F22AC" w:rsidRDefault="002F22AC" w:rsidP="006421AF">
            <w:pPr>
              <w:spacing w:before="40" w:after="20"/>
              <w:rPr>
                <w:rFonts w:ascii="Arial Narrow" w:hAnsi="Arial Narrow" w:cs="Calibri"/>
                <w:b/>
                <w:bCs/>
                <w:color w:val="000000"/>
                <w:sz w:val="18"/>
                <w:szCs w:val="18"/>
              </w:rPr>
            </w:pPr>
            <w:r>
              <w:rPr>
                <w:rFonts w:ascii="Arial Narrow" w:hAnsi="Arial Narrow" w:cs="Calibri"/>
                <w:b/>
                <w:bCs/>
                <w:color w:val="000000"/>
                <w:sz w:val="18"/>
                <w:szCs w:val="18"/>
              </w:rPr>
              <w:t>Forze di lavoro</w:t>
            </w:r>
          </w:p>
        </w:tc>
        <w:tc>
          <w:tcPr>
            <w:tcW w:w="820" w:type="dxa"/>
            <w:shd w:val="clear" w:color="000000" w:fill="D9D9D9"/>
            <w:noWrap/>
            <w:vAlign w:val="center"/>
            <w:hideMark/>
          </w:tcPr>
          <w:p w:rsidR="002F22AC" w:rsidRDefault="002F22AC" w:rsidP="006421AF">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143.111</w:t>
            </w:r>
          </w:p>
        </w:tc>
        <w:tc>
          <w:tcPr>
            <w:tcW w:w="820" w:type="dxa"/>
            <w:shd w:val="clear" w:color="auto" w:fill="auto"/>
            <w:vAlign w:val="center"/>
            <w:hideMark/>
          </w:tcPr>
          <w:p w:rsidR="002F22AC" w:rsidRDefault="002F22AC" w:rsidP="006421AF">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100.167</w:t>
            </w:r>
          </w:p>
        </w:tc>
        <w:tc>
          <w:tcPr>
            <w:tcW w:w="820" w:type="dxa"/>
            <w:shd w:val="clear" w:color="000000" w:fill="D9D9D9"/>
            <w:vAlign w:val="center"/>
            <w:hideMark/>
          </w:tcPr>
          <w:p w:rsidR="002F22AC" w:rsidRDefault="002F22AC" w:rsidP="006421AF">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243.278</w:t>
            </w:r>
          </w:p>
        </w:tc>
        <w:tc>
          <w:tcPr>
            <w:tcW w:w="820" w:type="dxa"/>
            <w:shd w:val="clear" w:color="auto" w:fill="auto"/>
            <w:vAlign w:val="center"/>
            <w:hideMark/>
          </w:tcPr>
          <w:p w:rsidR="002F22AC" w:rsidRDefault="002F22AC" w:rsidP="006421AF">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144.999</w:t>
            </w:r>
          </w:p>
        </w:tc>
        <w:tc>
          <w:tcPr>
            <w:tcW w:w="820" w:type="dxa"/>
            <w:shd w:val="clear" w:color="000000" w:fill="D9D9D9"/>
            <w:vAlign w:val="center"/>
            <w:hideMark/>
          </w:tcPr>
          <w:p w:rsidR="002F22AC" w:rsidRDefault="002F22AC" w:rsidP="006421AF">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101.211</w:t>
            </w:r>
          </w:p>
        </w:tc>
        <w:tc>
          <w:tcPr>
            <w:tcW w:w="820" w:type="dxa"/>
            <w:shd w:val="clear" w:color="auto" w:fill="auto"/>
            <w:vAlign w:val="center"/>
            <w:hideMark/>
          </w:tcPr>
          <w:p w:rsidR="002F22AC" w:rsidRDefault="002F22AC" w:rsidP="006421AF">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246.210</w:t>
            </w:r>
          </w:p>
        </w:tc>
        <w:tc>
          <w:tcPr>
            <w:tcW w:w="820" w:type="dxa"/>
            <w:shd w:val="clear" w:color="000000" w:fill="D9D9D9"/>
            <w:vAlign w:val="center"/>
            <w:hideMark/>
          </w:tcPr>
          <w:p w:rsidR="002F22AC" w:rsidRDefault="002F22AC" w:rsidP="006421AF">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142.427</w:t>
            </w:r>
          </w:p>
        </w:tc>
        <w:tc>
          <w:tcPr>
            <w:tcW w:w="820" w:type="dxa"/>
            <w:shd w:val="clear" w:color="auto" w:fill="auto"/>
            <w:noWrap/>
            <w:vAlign w:val="center"/>
            <w:hideMark/>
          </w:tcPr>
          <w:p w:rsidR="002F22AC" w:rsidRDefault="002F22AC" w:rsidP="006421AF">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95.907</w:t>
            </w:r>
          </w:p>
        </w:tc>
        <w:tc>
          <w:tcPr>
            <w:tcW w:w="820" w:type="dxa"/>
            <w:shd w:val="clear" w:color="000000" w:fill="D9D9D9"/>
            <w:noWrap/>
            <w:vAlign w:val="center"/>
            <w:hideMark/>
          </w:tcPr>
          <w:p w:rsidR="002F22AC" w:rsidRDefault="002F22AC" w:rsidP="006421AF">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238.334</w:t>
            </w:r>
          </w:p>
        </w:tc>
      </w:tr>
      <w:tr w:rsidR="002F22AC" w:rsidTr="006421AF">
        <w:trPr>
          <w:trHeight w:val="255"/>
        </w:trPr>
        <w:tc>
          <w:tcPr>
            <w:tcW w:w="2620" w:type="dxa"/>
            <w:shd w:val="clear" w:color="auto" w:fill="auto"/>
            <w:vAlign w:val="center"/>
            <w:hideMark/>
          </w:tcPr>
          <w:p w:rsidR="002F22AC" w:rsidRDefault="002F22AC" w:rsidP="006421AF">
            <w:pPr>
              <w:spacing w:before="40" w:after="20"/>
              <w:ind w:firstLineChars="100" w:firstLine="180"/>
              <w:rPr>
                <w:rFonts w:ascii="Arial Narrow" w:hAnsi="Arial Narrow" w:cs="Calibri"/>
                <w:color w:val="000000"/>
                <w:sz w:val="18"/>
                <w:szCs w:val="18"/>
              </w:rPr>
            </w:pPr>
            <w:r>
              <w:rPr>
                <w:rFonts w:ascii="Arial Narrow" w:hAnsi="Arial Narrow" w:cs="Calibri"/>
                <w:color w:val="000000"/>
                <w:sz w:val="18"/>
                <w:szCs w:val="18"/>
              </w:rPr>
              <w:t>Occupato/a</w:t>
            </w:r>
          </w:p>
        </w:tc>
        <w:tc>
          <w:tcPr>
            <w:tcW w:w="820" w:type="dxa"/>
            <w:shd w:val="clear" w:color="000000" w:fill="D9D9D9"/>
            <w:noWrap/>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122.647</w:t>
            </w:r>
          </w:p>
        </w:tc>
        <w:tc>
          <w:tcPr>
            <w:tcW w:w="820" w:type="dxa"/>
            <w:shd w:val="clear" w:color="auto" w:fill="auto"/>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79.634</w:t>
            </w:r>
          </w:p>
        </w:tc>
        <w:tc>
          <w:tcPr>
            <w:tcW w:w="820" w:type="dxa"/>
            <w:shd w:val="clear" w:color="000000" w:fill="D9D9D9"/>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202.281</w:t>
            </w:r>
          </w:p>
        </w:tc>
        <w:tc>
          <w:tcPr>
            <w:tcW w:w="820" w:type="dxa"/>
            <w:shd w:val="clear" w:color="auto" w:fill="auto"/>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119.683</w:t>
            </w:r>
          </w:p>
        </w:tc>
        <w:tc>
          <w:tcPr>
            <w:tcW w:w="820" w:type="dxa"/>
            <w:shd w:val="clear" w:color="000000" w:fill="D9D9D9"/>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77.388</w:t>
            </w:r>
          </w:p>
        </w:tc>
        <w:tc>
          <w:tcPr>
            <w:tcW w:w="820" w:type="dxa"/>
            <w:shd w:val="clear" w:color="auto" w:fill="auto"/>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197.071</w:t>
            </w:r>
          </w:p>
        </w:tc>
        <w:tc>
          <w:tcPr>
            <w:tcW w:w="820" w:type="dxa"/>
            <w:shd w:val="clear" w:color="000000" w:fill="D9D9D9"/>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122.408</w:t>
            </w:r>
          </w:p>
        </w:tc>
        <w:tc>
          <w:tcPr>
            <w:tcW w:w="820" w:type="dxa"/>
            <w:shd w:val="clear" w:color="auto" w:fill="auto"/>
            <w:noWrap/>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75.299</w:t>
            </w:r>
          </w:p>
        </w:tc>
        <w:tc>
          <w:tcPr>
            <w:tcW w:w="820" w:type="dxa"/>
            <w:shd w:val="clear" w:color="000000" w:fill="D9D9D9"/>
            <w:noWrap/>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197.707</w:t>
            </w:r>
          </w:p>
        </w:tc>
      </w:tr>
      <w:tr w:rsidR="002F22AC" w:rsidTr="006421AF">
        <w:trPr>
          <w:trHeight w:val="255"/>
        </w:trPr>
        <w:tc>
          <w:tcPr>
            <w:tcW w:w="2620" w:type="dxa"/>
            <w:shd w:val="clear" w:color="auto" w:fill="auto"/>
            <w:vAlign w:val="center"/>
            <w:hideMark/>
          </w:tcPr>
          <w:p w:rsidR="002F22AC" w:rsidRDefault="002F22AC" w:rsidP="006421AF">
            <w:pPr>
              <w:spacing w:before="40" w:after="20"/>
              <w:ind w:firstLineChars="100" w:firstLine="180"/>
              <w:rPr>
                <w:rFonts w:ascii="Arial Narrow" w:hAnsi="Arial Narrow" w:cs="Calibri"/>
                <w:color w:val="000000"/>
                <w:sz w:val="18"/>
                <w:szCs w:val="18"/>
              </w:rPr>
            </w:pPr>
            <w:r>
              <w:rPr>
                <w:rFonts w:ascii="Arial Narrow" w:hAnsi="Arial Narrow" w:cs="Calibri"/>
                <w:color w:val="000000"/>
                <w:sz w:val="18"/>
                <w:szCs w:val="18"/>
              </w:rPr>
              <w:t>In cerca di occupazione</w:t>
            </w:r>
          </w:p>
        </w:tc>
        <w:tc>
          <w:tcPr>
            <w:tcW w:w="820" w:type="dxa"/>
            <w:shd w:val="clear" w:color="000000" w:fill="D9D9D9"/>
            <w:noWrap/>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20.464</w:t>
            </w:r>
          </w:p>
        </w:tc>
        <w:tc>
          <w:tcPr>
            <w:tcW w:w="820" w:type="dxa"/>
            <w:shd w:val="clear" w:color="auto" w:fill="auto"/>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20.533</w:t>
            </w:r>
          </w:p>
        </w:tc>
        <w:tc>
          <w:tcPr>
            <w:tcW w:w="820" w:type="dxa"/>
            <w:shd w:val="clear" w:color="000000" w:fill="D9D9D9"/>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40.997</w:t>
            </w:r>
          </w:p>
        </w:tc>
        <w:tc>
          <w:tcPr>
            <w:tcW w:w="820" w:type="dxa"/>
            <w:shd w:val="clear" w:color="auto" w:fill="auto"/>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25.316</w:t>
            </w:r>
          </w:p>
        </w:tc>
        <w:tc>
          <w:tcPr>
            <w:tcW w:w="820" w:type="dxa"/>
            <w:shd w:val="clear" w:color="000000" w:fill="D9D9D9"/>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23.823</w:t>
            </w:r>
          </w:p>
        </w:tc>
        <w:tc>
          <w:tcPr>
            <w:tcW w:w="820" w:type="dxa"/>
            <w:shd w:val="clear" w:color="auto" w:fill="auto"/>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49.139</w:t>
            </w:r>
          </w:p>
        </w:tc>
        <w:tc>
          <w:tcPr>
            <w:tcW w:w="820" w:type="dxa"/>
            <w:shd w:val="clear" w:color="000000" w:fill="D9D9D9"/>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20.019</w:t>
            </w:r>
          </w:p>
        </w:tc>
        <w:tc>
          <w:tcPr>
            <w:tcW w:w="820" w:type="dxa"/>
            <w:shd w:val="clear" w:color="auto" w:fill="auto"/>
            <w:noWrap/>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20.608</w:t>
            </w:r>
          </w:p>
        </w:tc>
        <w:tc>
          <w:tcPr>
            <w:tcW w:w="820" w:type="dxa"/>
            <w:shd w:val="clear" w:color="000000" w:fill="D9D9D9"/>
            <w:noWrap/>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40.627</w:t>
            </w:r>
          </w:p>
        </w:tc>
      </w:tr>
      <w:tr w:rsidR="002F22AC" w:rsidTr="006421AF">
        <w:trPr>
          <w:trHeight w:val="255"/>
        </w:trPr>
        <w:tc>
          <w:tcPr>
            <w:tcW w:w="2620" w:type="dxa"/>
            <w:shd w:val="clear" w:color="auto" w:fill="auto"/>
            <w:vAlign w:val="center"/>
            <w:hideMark/>
          </w:tcPr>
          <w:p w:rsidR="002F22AC" w:rsidRDefault="002F22AC" w:rsidP="006421AF">
            <w:pPr>
              <w:spacing w:before="40" w:after="20"/>
              <w:rPr>
                <w:rFonts w:ascii="Arial Narrow" w:hAnsi="Arial Narrow" w:cs="Calibri"/>
                <w:b/>
                <w:bCs/>
                <w:color w:val="000000"/>
                <w:sz w:val="18"/>
                <w:szCs w:val="18"/>
              </w:rPr>
            </w:pPr>
            <w:r>
              <w:rPr>
                <w:rFonts w:ascii="Arial Narrow" w:hAnsi="Arial Narrow" w:cs="Calibri"/>
                <w:b/>
                <w:bCs/>
                <w:color w:val="000000"/>
                <w:sz w:val="18"/>
                <w:szCs w:val="18"/>
              </w:rPr>
              <w:t>Non forze di lavoro</w:t>
            </w:r>
          </w:p>
        </w:tc>
        <w:tc>
          <w:tcPr>
            <w:tcW w:w="820" w:type="dxa"/>
            <w:shd w:val="clear" w:color="000000" w:fill="D9D9D9"/>
            <w:noWrap/>
            <w:vAlign w:val="center"/>
            <w:hideMark/>
          </w:tcPr>
          <w:p w:rsidR="002F22AC" w:rsidRDefault="002F22AC" w:rsidP="006421AF">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95.544</w:t>
            </w:r>
          </w:p>
        </w:tc>
        <w:tc>
          <w:tcPr>
            <w:tcW w:w="820" w:type="dxa"/>
            <w:shd w:val="clear" w:color="auto" w:fill="auto"/>
            <w:vAlign w:val="center"/>
            <w:hideMark/>
          </w:tcPr>
          <w:p w:rsidR="002F22AC" w:rsidRDefault="002F22AC" w:rsidP="006421AF">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149.684</w:t>
            </w:r>
          </w:p>
        </w:tc>
        <w:tc>
          <w:tcPr>
            <w:tcW w:w="820" w:type="dxa"/>
            <w:shd w:val="clear" w:color="000000" w:fill="D9D9D9"/>
            <w:vAlign w:val="center"/>
            <w:hideMark/>
          </w:tcPr>
          <w:p w:rsidR="002F22AC" w:rsidRDefault="002F22AC" w:rsidP="006421AF">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245.228</w:t>
            </w:r>
          </w:p>
        </w:tc>
        <w:tc>
          <w:tcPr>
            <w:tcW w:w="820" w:type="dxa"/>
            <w:shd w:val="clear" w:color="auto" w:fill="auto"/>
            <w:vAlign w:val="center"/>
            <w:hideMark/>
          </w:tcPr>
          <w:p w:rsidR="002F22AC" w:rsidRDefault="002F22AC" w:rsidP="006421AF">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95.527</w:t>
            </w:r>
          </w:p>
        </w:tc>
        <w:tc>
          <w:tcPr>
            <w:tcW w:w="820" w:type="dxa"/>
            <w:shd w:val="clear" w:color="000000" w:fill="D9D9D9"/>
            <w:vAlign w:val="center"/>
            <w:hideMark/>
          </w:tcPr>
          <w:p w:rsidR="002F22AC" w:rsidRDefault="002F22AC" w:rsidP="006421AF">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150.471</w:t>
            </w:r>
          </w:p>
        </w:tc>
        <w:tc>
          <w:tcPr>
            <w:tcW w:w="820" w:type="dxa"/>
            <w:shd w:val="clear" w:color="auto" w:fill="auto"/>
            <w:vAlign w:val="center"/>
            <w:hideMark/>
          </w:tcPr>
          <w:p w:rsidR="002F22AC" w:rsidRDefault="002F22AC" w:rsidP="006421AF">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245.998</w:t>
            </w:r>
          </w:p>
        </w:tc>
        <w:tc>
          <w:tcPr>
            <w:tcW w:w="820" w:type="dxa"/>
            <w:shd w:val="clear" w:color="000000" w:fill="D9D9D9"/>
            <w:vAlign w:val="center"/>
            <w:hideMark/>
          </w:tcPr>
          <w:p w:rsidR="002F22AC" w:rsidRDefault="002F22AC" w:rsidP="006421AF">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100.532</w:t>
            </w:r>
          </w:p>
        </w:tc>
        <w:tc>
          <w:tcPr>
            <w:tcW w:w="820" w:type="dxa"/>
            <w:shd w:val="clear" w:color="auto" w:fill="auto"/>
            <w:noWrap/>
            <w:vAlign w:val="center"/>
            <w:hideMark/>
          </w:tcPr>
          <w:p w:rsidR="002F22AC" w:rsidRDefault="002F22AC" w:rsidP="006421AF">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162.362</w:t>
            </w:r>
          </w:p>
        </w:tc>
        <w:tc>
          <w:tcPr>
            <w:tcW w:w="820" w:type="dxa"/>
            <w:shd w:val="clear" w:color="000000" w:fill="D9D9D9"/>
            <w:noWrap/>
            <w:vAlign w:val="center"/>
            <w:hideMark/>
          </w:tcPr>
          <w:p w:rsidR="002F22AC" w:rsidRDefault="002F22AC" w:rsidP="006421AF">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262.894</w:t>
            </w:r>
          </w:p>
        </w:tc>
      </w:tr>
      <w:tr w:rsidR="002F22AC" w:rsidTr="006421AF">
        <w:trPr>
          <w:trHeight w:val="255"/>
        </w:trPr>
        <w:tc>
          <w:tcPr>
            <w:tcW w:w="2620" w:type="dxa"/>
            <w:shd w:val="clear" w:color="auto" w:fill="auto"/>
            <w:vAlign w:val="center"/>
            <w:hideMark/>
          </w:tcPr>
          <w:p w:rsidR="002F22AC" w:rsidRDefault="002F22AC" w:rsidP="006421AF">
            <w:pPr>
              <w:spacing w:before="40" w:after="20"/>
              <w:ind w:left="211"/>
              <w:rPr>
                <w:rFonts w:ascii="Arial Narrow" w:hAnsi="Arial Narrow" w:cs="Calibri"/>
                <w:color w:val="000000"/>
                <w:sz w:val="18"/>
                <w:szCs w:val="18"/>
              </w:rPr>
            </w:pPr>
            <w:r>
              <w:rPr>
                <w:rFonts w:ascii="Arial Narrow" w:hAnsi="Arial Narrow" w:cs="Calibri"/>
                <w:color w:val="000000"/>
                <w:sz w:val="18"/>
                <w:szCs w:val="18"/>
              </w:rPr>
              <w:t>Percettore/rice di pensioni da lavoro o di redditi da capitale</w:t>
            </w:r>
          </w:p>
        </w:tc>
        <w:tc>
          <w:tcPr>
            <w:tcW w:w="820" w:type="dxa"/>
            <w:shd w:val="clear" w:color="000000" w:fill="D9D9D9"/>
            <w:noWrap/>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52.112</w:t>
            </w:r>
          </w:p>
        </w:tc>
        <w:tc>
          <w:tcPr>
            <w:tcW w:w="820" w:type="dxa"/>
            <w:shd w:val="clear" w:color="auto" w:fill="auto"/>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54.019</w:t>
            </w:r>
          </w:p>
        </w:tc>
        <w:tc>
          <w:tcPr>
            <w:tcW w:w="820" w:type="dxa"/>
            <w:shd w:val="clear" w:color="000000" w:fill="D9D9D9"/>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106.131</w:t>
            </w:r>
          </w:p>
        </w:tc>
        <w:tc>
          <w:tcPr>
            <w:tcW w:w="820" w:type="dxa"/>
            <w:shd w:val="clear" w:color="auto" w:fill="auto"/>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53.611</w:t>
            </w:r>
          </w:p>
        </w:tc>
        <w:tc>
          <w:tcPr>
            <w:tcW w:w="820" w:type="dxa"/>
            <w:shd w:val="clear" w:color="000000" w:fill="D9D9D9"/>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54.748</w:t>
            </w:r>
          </w:p>
        </w:tc>
        <w:tc>
          <w:tcPr>
            <w:tcW w:w="820" w:type="dxa"/>
            <w:shd w:val="clear" w:color="auto" w:fill="auto"/>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108.359</w:t>
            </w:r>
          </w:p>
        </w:tc>
        <w:tc>
          <w:tcPr>
            <w:tcW w:w="820" w:type="dxa"/>
            <w:shd w:val="clear" w:color="000000" w:fill="D9D9D9"/>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59.482</w:t>
            </w:r>
          </w:p>
        </w:tc>
        <w:tc>
          <w:tcPr>
            <w:tcW w:w="820" w:type="dxa"/>
            <w:shd w:val="clear" w:color="auto" w:fill="auto"/>
            <w:noWrap/>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66.088</w:t>
            </w:r>
          </w:p>
        </w:tc>
        <w:tc>
          <w:tcPr>
            <w:tcW w:w="820" w:type="dxa"/>
            <w:shd w:val="clear" w:color="000000" w:fill="D9D9D9"/>
            <w:noWrap/>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125.570</w:t>
            </w:r>
          </w:p>
        </w:tc>
      </w:tr>
      <w:tr w:rsidR="002F22AC" w:rsidTr="006421AF">
        <w:trPr>
          <w:trHeight w:val="255"/>
        </w:trPr>
        <w:tc>
          <w:tcPr>
            <w:tcW w:w="2620" w:type="dxa"/>
            <w:shd w:val="clear" w:color="auto" w:fill="auto"/>
            <w:vAlign w:val="center"/>
            <w:hideMark/>
          </w:tcPr>
          <w:p w:rsidR="002F22AC" w:rsidRDefault="002F22AC" w:rsidP="006421AF">
            <w:pPr>
              <w:spacing w:before="40" w:after="20"/>
              <w:ind w:firstLineChars="100" w:firstLine="180"/>
              <w:rPr>
                <w:rFonts w:ascii="Arial Narrow" w:hAnsi="Arial Narrow" w:cs="Calibri"/>
                <w:color w:val="000000"/>
                <w:sz w:val="18"/>
                <w:szCs w:val="18"/>
              </w:rPr>
            </w:pPr>
            <w:r>
              <w:rPr>
                <w:rFonts w:ascii="Arial Narrow" w:hAnsi="Arial Narrow" w:cs="Calibri"/>
                <w:color w:val="000000"/>
                <w:sz w:val="18"/>
                <w:szCs w:val="18"/>
              </w:rPr>
              <w:t>Studente/essa</w:t>
            </w:r>
          </w:p>
        </w:tc>
        <w:tc>
          <w:tcPr>
            <w:tcW w:w="820" w:type="dxa"/>
            <w:shd w:val="clear" w:color="000000" w:fill="D9D9D9"/>
            <w:noWrap/>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20.703</w:t>
            </w:r>
          </w:p>
        </w:tc>
        <w:tc>
          <w:tcPr>
            <w:tcW w:w="820" w:type="dxa"/>
            <w:shd w:val="clear" w:color="auto" w:fill="auto"/>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23.447</w:t>
            </w:r>
          </w:p>
        </w:tc>
        <w:tc>
          <w:tcPr>
            <w:tcW w:w="820" w:type="dxa"/>
            <w:shd w:val="clear" w:color="000000" w:fill="D9D9D9"/>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44.150</w:t>
            </w:r>
          </w:p>
        </w:tc>
        <w:tc>
          <w:tcPr>
            <w:tcW w:w="820" w:type="dxa"/>
            <w:shd w:val="clear" w:color="auto" w:fill="auto"/>
            <w:vAlign w:val="center"/>
            <w:hideMark/>
          </w:tcPr>
          <w:p w:rsidR="002F22AC" w:rsidRDefault="002F22AC" w:rsidP="006421AF">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20.028</w:t>
            </w:r>
          </w:p>
        </w:tc>
        <w:tc>
          <w:tcPr>
            <w:tcW w:w="820" w:type="dxa"/>
            <w:shd w:val="clear" w:color="000000" w:fill="D9D9D9"/>
            <w:vAlign w:val="center"/>
            <w:hideMark/>
          </w:tcPr>
          <w:p w:rsidR="002F22AC" w:rsidRDefault="002F22AC" w:rsidP="006421AF">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22.950</w:t>
            </w:r>
          </w:p>
        </w:tc>
        <w:tc>
          <w:tcPr>
            <w:tcW w:w="820" w:type="dxa"/>
            <w:shd w:val="clear" w:color="auto" w:fill="auto"/>
            <w:vAlign w:val="center"/>
            <w:hideMark/>
          </w:tcPr>
          <w:p w:rsidR="002F22AC" w:rsidRDefault="002F22AC" w:rsidP="006421AF">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42.978</w:t>
            </w:r>
          </w:p>
        </w:tc>
        <w:tc>
          <w:tcPr>
            <w:tcW w:w="820" w:type="dxa"/>
            <w:shd w:val="clear" w:color="000000" w:fill="D9D9D9"/>
            <w:vAlign w:val="center"/>
            <w:hideMark/>
          </w:tcPr>
          <w:p w:rsidR="002F22AC" w:rsidRDefault="002F22AC" w:rsidP="006421AF">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21.725</w:t>
            </w:r>
          </w:p>
        </w:tc>
        <w:tc>
          <w:tcPr>
            <w:tcW w:w="820" w:type="dxa"/>
            <w:shd w:val="clear" w:color="auto" w:fill="auto"/>
            <w:noWrap/>
            <w:vAlign w:val="center"/>
            <w:hideMark/>
          </w:tcPr>
          <w:p w:rsidR="002F22AC" w:rsidRDefault="002F22AC" w:rsidP="006421AF">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26.047</w:t>
            </w:r>
          </w:p>
        </w:tc>
        <w:tc>
          <w:tcPr>
            <w:tcW w:w="820" w:type="dxa"/>
            <w:shd w:val="clear" w:color="000000" w:fill="D9D9D9"/>
            <w:noWrap/>
            <w:vAlign w:val="center"/>
            <w:hideMark/>
          </w:tcPr>
          <w:p w:rsidR="002F22AC" w:rsidRDefault="002F22AC" w:rsidP="006421AF">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47.772</w:t>
            </w:r>
          </w:p>
        </w:tc>
      </w:tr>
      <w:tr w:rsidR="002F22AC" w:rsidTr="006421AF">
        <w:trPr>
          <w:trHeight w:val="255"/>
        </w:trPr>
        <w:tc>
          <w:tcPr>
            <w:tcW w:w="2620" w:type="dxa"/>
            <w:shd w:val="clear" w:color="auto" w:fill="auto"/>
            <w:vAlign w:val="center"/>
            <w:hideMark/>
          </w:tcPr>
          <w:p w:rsidR="002F22AC" w:rsidRDefault="002F22AC" w:rsidP="006421AF">
            <w:pPr>
              <w:spacing w:before="40" w:after="20"/>
              <w:ind w:firstLineChars="100" w:firstLine="180"/>
              <w:rPr>
                <w:rFonts w:ascii="Arial Narrow" w:hAnsi="Arial Narrow" w:cs="Calibri"/>
                <w:color w:val="000000"/>
                <w:sz w:val="18"/>
                <w:szCs w:val="18"/>
              </w:rPr>
            </w:pPr>
            <w:r>
              <w:rPr>
                <w:rFonts w:ascii="Arial Narrow" w:hAnsi="Arial Narrow" w:cs="Calibri"/>
                <w:color w:val="000000"/>
                <w:sz w:val="18"/>
                <w:szCs w:val="18"/>
              </w:rPr>
              <w:t>Casalinga/o</w:t>
            </w:r>
          </w:p>
        </w:tc>
        <w:tc>
          <w:tcPr>
            <w:tcW w:w="820" w:type="dxa"/>
            <w:shd w:val="clear" w:color="000000" w:fill="D9D9D9"/>
            <w:noWrap/>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1.644</w:t>
            </w:r>
          </w:p>
        </w:tc>
        <w:tc>
          <w:tcPr>
            <w:tcW w:w="820" w:type="dxa"/>
            <w:shd w:val="clear" w:color="auto" w:fill="auto"/>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54.986</w:t>
            </w:r>
          </w:p>
        </w:tc>
        <w:tc>
          <w:tcPr>
            <w:tcW w:w="820" w:type="dxa"/>
            <w:shd w:val="clear" w:color="000000" w:fill="D9D9D9"/>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56.630</w:t>
            </w:r>
          </w:p>
        </w:tc>
        <w:tc>
          <w:tcPr>
            <w:tcW w:w="820" w:type="dxa"/>
            <w:shd w:val="clear" w:color="auto" w:fill="auto"/>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1.978</w:t>
            </w:r>
          </w:p>
        </w:tc>
        <w:tc>
          <w:tcPr>
            <w:tcW w:w="820" w:type="dxa"/>
            <w:shd w:val="clear" w:color="000000" w:fill="D9D9D9"/>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56.488</w:t>
            </w:r>
          </w:p>
        </w:tc>
        <w:tc>
          <w:tcPr>
            <w:tcW w:w="820" w:type="dxa"/>
            <w:shd w:val="clear" w:color="auto" w:fill="auto"/>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58.466</w:t>
            </w:r>
          </w:p>
        </w:tc>
        <w:tc>
          <w:tcPr>
            <w:tcW w:w="820" w:type="dxa"/>
            <w:shd w:val="clear" w:color="000000" w:fill="D9D9D9"/>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1.113</w:t>
            </w:r>
          </w:p>
        </w:tc>
        <w:tc>
          <w:tcPr>
            <w:tcW w:w="820" w:type="dxa"/>
            <w:shd w:val="clear" w:color="auto" w:fill="auto"/>
            <w:noWrap/>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57.241</w:t>
            </w:r>
          </w:p>
        </w:tc>
        <w:tc>
          <w:tcPr>
            <w:tcW w:w="820" w:type="dxa"/>
            <w:shd w:val="clear" w:color="000000" w:fill="D9D9D9"/>
            <w:noWrap/>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58.354</w:t>
            </w:r>
          </w:p>
        </w:tc>
      </w:tr>
      <w:tr w:rsidR="002F22AC" w:rsidTr="006421AF">
        <w:trPr>
          <w:trHeight w:val="255"/>
        </w:trPr>
        <w:tc>
          <w:tcPr>
            <w:tcW w:w="2620" w:type="dxa"/>
            <w:shd w:val="clear" w:color="auto" w:fill="auto"/>
            <w:vAlign w:val="center"/>
            <w:hideMark/>
          </w:tcPr>
          <w:p w:rsidR="002F22AC" w:rsidRDefault="002F22AC" w:rsidP="006421AF">
            <w:pPr>
              <w:spacing w:before="40" w:after="20"/>
              <w:ind w:firstLineChars="100" w:firstLine="180"/>
              <w:rPr>
                <w:rFonts w:ascii="Arial Narrow" w:hAnsi="Arial Narrow" w:cs="Calibri"/>
                <w:color w:val="000000"/>
                <w:sz w:val="18"/>
                <w:szCs w:val="18"/>
              </w:rPr>
            </w:pPr>
            <w:r>
              <w:rPr>
                <w:rFonts w:ascii="Arial Narrow" w:hAnsi="Arial Narrow" w:cs="Calibri"/>
                <w:color w:val="000000"/>
                <w:sz w:val="18"/>
                <w:szCs w:val="18"/>
              </w:rPr>
              <w:t>In altra condizione</w:t>
            </w:r>
          </w:p>
        </w:tc>
        <w:tc>
          <w:tcPr>
            <w:tcW w:w="820" w:type="dxa"/>
            <w:shd w:val="clear" w:color="000000" w:fill="D9D9D9"/>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21.085</w:t>
            </w:r>
          </w:p>
        </w:tc>
        <w:tc>
          <w:tcPr>
            <w:tcW w:w="820" w:type="dxa"/>
            <w:shd w:val="clear" w:color="auto" w:fill="auto"/>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17.232</w:t>
            </w:r>
          </w:p>
        </w:tc>
        <w:tc>
          <w:tcPr>
            <w:tcW w:w="820" w:type="dxa"/>
            <w:shd w:val="clear" w:color="000000" w:fill="D9D9D9"/>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38.317</w:t>
            </w:r>
          </w:p>
        </w:tc>
        <w:tc>
          <w:tcPr>
            <w:tcW w:w="820" w:type="dxa"/>
            <w:shd w:val="clear" w:color="auto" w:fill="auto"/>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19.910</w:t>
            </w:r>
          </w:p>
        </w:tc>
        <w:tc>
          <w:tcPr>
            <w:tcW w:w="820" w:type="dxa"/>
            <w:shd w:val="clear" w:color="000000" w:fill="D9D9D9"/>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16.285</w:t>
            </w:r>
          </w:p>
        </w:tc>
        <w:tc>
          <w:tcPr>
            <w:tcW w:w="820" w:type="dxa"/>
            <w:shd w:val="clear" w:color="auto" w:fill="auto"/>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36.195</w:t>
            </w:r>
          </w:p>
        </w:tc>
        <w:tc>
          <w:tcPr>
            <w:tcW w:w="820" w:type="dxa"/>
            <w:shd w:val="clear" w:color="000000" w:fill="D9D9D9"/>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18.212</w:t>
            </w:r>
          </w:p>
        </w:tc>
        <w:tc>
          <w:tcPr>
            <w:tcW w:w="820" w:type="dxa"/>
            <w:shd w:val="clear" w:color="auto" w:fill="auto"/>
            <w:noWrap/>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12.986</w:t>
            </w:r>
          </w:p>
        </w:tc>
        <w:tc>
          <w:tcPr>
            <w:tcW w:w="820" w:type="dxa"/>
            <w:shd w:val="clear" w:color="000000" w:fill="D9D9D9"/>
            <w:noWrap/>
            <w:vAlign w:val="center"/>
            <w:hideMark/>
          </w:tcPr>
          <w:p w:rsidR="002F22AC" w:rsidRDefault="002F22AC" w:rsidP="006421AF">
            <w:pPr>
              <w:spacing w:before="40" w:after="20"/>
              <w:jc w:val="right"/>
              <w:rPr>
                <w:rFonts w:ascii="Arial Narrow" w:hAnsi="Arial Narrow" w:cs="Calibri"/>
                <w:color w:val="000000"/>
                <w:sz w:val="18"/>
                <w:szCs w:val="18"/>
              </w:rPr>
            </w:pPr>
            <w:r>
              <w:rPr>
                <w:rFonts w:ascii="Arial Narrow" w:hAnsi="Arial Narrow" w:cs="Calibri"/>
                <w:color w:val="000000"/>
                <w:sz w:val="18"/>
                <w:szCs w:val="18"/>
              </w:rPr>
              <w:t>31.198</w:t>
            </w:r>
          </w:p>
        </w:tc>
      </w:tr>
      <w:tr w:rsidR="002F22AC" w:rsidTr="006421AF">
        <w:trPr>
          <w:trHeight w:val="255"/>
        </w:trPr>
        <w:tc>
          <w:tcPr>
            <w:tcW w:w="2620" w:type="dxa"/>
            <w:shd w:val="clear" w:color="000000" w:fill="C9321F"/>
            <w:vAlign w:val="center"/>
            <w:hideMark/>
          </w:tcPr>
          <w:p w:rsidR="002F22AC" w:rsidRDefault="002F22AC" w:rsidP="006421AF">
            <w:pPr>
              <w:spacing w:before="40" w:after="20"/>
              <w:rPr>
                <w:rFonts w:ascii="Arial Narrow" w:hAnsi="Arial Narrow" w:cs="Calibri"/>
                <w:b/>
                <w:bCs/>
                <w:color w:val="FFFFFF"/>
                <w:sz w:val="18"/>
                <w:szCs w:val="18"/>
              </w:rPr>
            </w:pPr>
            <w:r>
              <w:rPr>
                <w:rFonts w:ascii="Arial Narrow" w:hAnsi="Arial Narrow" w:cs="Calibri"/>
                <w:b/>
                <w:bCs/>
                <w:color w:val="FFFFFF"/>
                <w:sz w:val="18"/>
                <w:szCs w:val="18"/>
              </w:rPr>
              <w:t>TOTALE</w:t>
            </w:r>
          </w:p>
        </w:tc>
        <w:tc>
          <w:tcPr>
            <w:tcW w:w="820" w:type="dxa"/>
            <w:shd w:val="clear" w:color="000000" w:fill="C9321F"/>
            <w:vAlign w:val="center"/>
            <w:hideMark/>
          </w:tcPr>
          <w:p w:rsidR="002F22AC" w:rsidRDefault="002F22AC" w:rsidP="006421AF">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238.655</w:t>
            </w:r>
          </w:p>
        </w:tc>
        <w:tc>
          <w:tcPr>
            <w:tcW w:w="820" w:type="dxa"/>
            <w:shd w:val="clear" w:color="000000" w:fill="C9321F"/>
            <w:vAlign w:val="center"/>
            <w:hideMark/>
          </w:tcPr>
          <w:p w:rsidR="002F22AC" w:rsidRDefault="002F22AC" w:rsidP="006421AF">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249.851</w:t>
            </w:r>
          </w:p>
        </w:tc>
        <w:tc>
          <w:tcPr>
            <w:tcW w:w="820" w:type="dxa"/>
            <w:shd w:val="clear" w:color="000000" w:fill="C9321F"/>
            <w:vAlign w:val="center"/>
            <w:hideMark/>
          </w:tcPr>
          <w:p w:rsidR="002F22AC" w:rsidRDefault="002F22AC" w:rsidP="006421AF">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488.506</w:t>
            </w:r>
          </w:p>
        </w:tc>
        <w:tc>
          <w:tcPr>
            <w:tcW w:w="820" w:type="dxa"/>
            <w:shd w:val="clear" w:color="000000" w:fill="C9321F"/>
            <w:vAlign w:val="center"/>
            <w:hideMark/>
          </w:tcPr>
          <w:p w:rsidR="002F22AC" w:rsidRDefault="002F22AC" w:rsidP="006421AF">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240.526</w:t>
            </w:r>
          </w:p>
        </w:tc>
        <w:tc>
          <w:tcPr>
            <w:tcW w:w="820" w:type="dxa"/>
            <w:shd w:val="clear" w:color="000000" w:fill="C9321F"/>
            <w:vAlign w:val="center"/>
            <w:hideMark/>
          </w:tcPr>
          <w:p w:rsidR="002F22AC" w:rsidRDefault="002F22AC" w:rsidP="006421AF">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251.682</w:t>
            </w:r>
          </w:p>
        </w:tc>
        <w:tc>
          <w:tcPr>
            <w:tcW w:w="820" w:type="dxa"/>
            <w:shd w:val="clear" w:color="000000" w:fill="C9321F"/>
            <w:vAlign w:val="center"/>
            <w:hideMark/>
          </w:tcPr>
          <w:p w:rsidR="002F22AC" w:rsidRDefault="002F22AC" w:rsidP="006421AF">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492.208</w:t>
            </w:r>
          </w:p>
        </w:tc>
        <w:tc>
          <w:tcPr>
            <w:tcW w:w="820" w:type="dxa"/>
            <w:shd w:val="clear" w:color="000000" w:fill="C9321F"/>
            <w:vAlign w:val="center"/>
            <w:hideMark/>
          </w:tcPr>
          <w:p w:rsidR="002F22AC" w:rsidRDefault="002F22AC" w:rsidP="006421AF">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242.959</w:t>
            </w:r>
          </w:p>
        </w:tc>
        <w:tc>
          <w:tcPr>
            <w:tcW w:w="820" w:type="dxa"/>
            <w:shd w:val="clear" w:color="000000" w:fill="C9321F"/>
            <w:vAlign w:val="center"/>
            <w:hideMark/>
          </w:tcPr>
          <w:p w:rsidR="002F22AC" w:rsidRDefault="002F22AC" w:rsidP="006421AF">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258.269</w:t>
            </w:r>
          </w:p>
        </w:tc>
        <w:tc>
          <w:tcPr>
            <w:tcW w:w="820" w:type="dxa"/>
            <w:shd w:val="clear" w:color="000000" w:fill="C9321F"/>
            <w:vAlign w:val="center"/>
            <w:hideMark/>
          </w:tcPr>
          <w:p w:rsidR="002F22AC" w:rsidRDefault="002F22AC" w:rsidP="006421AF">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501.228</w:t>
            </w:r>
          </w:p>
        </w:tc>
      </w:tr>
    </w:tbl>
    <w:p w:rsidR="00D531E0" w:rsidRPr="00C4145D" w:rsidRDefault="00D531E0" w:rsidP="004F2FB1">
      <w:pPr>
        <w:spacing w:before="360" w:after="120"/>
        <w:jc w:val="both"/>
        <w:rPr>
          <w:rFonts w:ascii="Trebuchet MS" w:hAnsi="Trebuchet MS" w:cs="Arial"/>
          <w:color w:val="5F5F5F"/>
          <w:sz w:val="20"/>
          <w:szCs w:val="20"/>
        </w:rPr>
      </w:pPr>
      <w:r w:rsidRPr="00C4145D">
        <w:rPr>
          <w:rFonts w:ascii="Trebuchet MS" w:hAnsi="Trebuchet MS" w:cs="Arial"/>
          <w:color w:val="5F5F5F"/>
          <w:sz w:val="20"/>
          <w:szCs w:val="20"/>
        </w:rPr>
        <w:t xml:space="preserve">L’aumento degli occupati ha solo leggermente attenuato il consolidato gap degli indicatori del mercato del lavoro </w:t>
      </w:r>
      <w:r w:rsidR="00F77395" w:rsidRPr="00C4145D">
        <w:rPr>
          <w:rFonts w:ascii="Trebuchet MS" w:hAnsi="Trebuchet MS" w:cs="Arial"/>
          <w:color w:val="5F5F5F"/>
          <w:sz w:val="20"/>
          <w:szCs w:val="20"/>
        </w:rPr>
        <w:t>luc</w:t>
      </w:r>
      <w:r w:rsidRPr="00C4145D">
        <w:rPr>
          <w:rFonts w:ascii="Trebuchet MS" w:hAnsi="Trebuchet MS" w:cs="Arial"/>
          <w:color w:val="5F5F5F"/>
          <w:sz w:val="20"/>
          <w:szCs w:val="20"/>
        </w:rPr>
        <w:t xml:space="preserve">ano rispetto alla media nazionale. </w:t>
      </w:r>
    </w:p>
    <w:p w:rsidR="00D531E0" w:rsidRDefault="00D531E0" w:rsidP="00D531E0">
      <w:pPr>
        <w:spacing w:after="120"/>
        <w:jc w:val="both"/>
        <w:rPr>
          <w:rFonts w:ascii="Trebuchet MS" w:hAnsi="Trebuchet MS" w:cs="Arial"/>
          <w:color w:val="5F5F5F"/>
          <w:sz w:val="20"/>
          <w:szCs w:val="20"/>
        </w:rPr>
      </w:pPr>
      <w:r w:rsidRPr="00C4145D">
        <w:rPr>
          <w:rFonts w:ascii="Trebuchet MS" w:hAnsi="Trebuchet MS" w:cs="Arial"/>
          <w:color w:val="5F5F5F"/>
          <w:sz w:val="20"/>
          <w:szCs w:val="20"/>
        </w:rPr>
        <w:t>Il tasso di attività sale al 4</w:t>
      </w:r>
      <w:r w:rsidR="00F77395" w:rsidRPr="00C4145D">
        <w:rPr>
          <w:rFonts w:ascii="Trebuchet MS" w:hAnsi="Trebuchet MS" w:cs="Arial"/>
          <w:color w:val="5F5F5F"/>
          <w:sz w:val="20"/>
          <w:szCs w:val="20"/>
        </w:rPr>
        <w:t>9,8</w:t>
      </w:r>
      <w:r w:rsidRPr="00C4145D">
        <w:rPr>
          <w:rFonts w:ascii="Trebuchet MS" w:hAnsi="Trebuchet MS" w:cs="Arial"/>
          <w:color w:val="5F5F5F"/>
          <w:sz w:val="20"/>
          <w:szCs w:val="20"/>
        </w:rPr>
        <w:t xml:space="preserve">%, </w:t>
      </w:r>
      <w:r w:rsidR="00F77395" w:rsidRPr="00C4145D">
        <w:rPr>
          <w:rFonts w:ascii="Trebuchet MS" w:hAnsi="Trebuchet MS" w:cs="Arial"/>
          <w:color w:val="5F5F5F"/>
          <w:sz w:val="20"/>
          <w:szCs w:val="20"/>
        </w:rPr>
        <w:t>circa tre</w:t>
      </w:r>
      <w:r w:rsidRPr="00C4145D">
        <w:rPr>
          <w:rFonts w:ascii="Trebuchet MS" w:hAnsi="Trebuchet MS" w:cs="Arial"/>
          <w:color w:val="5F5F5F"/>
          <w:sz w:val="20"/>
          <w:szCs w:val="20"/>
        </w:rPr>
        <w:t xml:space="preserve">punti percentuali sotto </w:t>
      </w:r>
      <w:r w:rsidR="003512DE" w:rsidRPr="00C4145D">
        <w:rPr>
          <w:rFonts w:ascii="Trebuchet MS" w:hAnsi="Trebuchet MS" w:cs="Arial"/>
          <w:color w:val="5F5F5F"/>
          <w:sz w:val="20"/>
          <w:szCs w:val="20"/>
        </w:rPr>
        <w:t>il</w:t>
      </w:r>
      <w:r w:rsidRPr="00C4145D">
        <w:rPr>
          <w:rFonts w:ascii="Trebuchet MS" w:hAnsi="Trebuchet MS" w:cs="Arial"/>
          <w:color w:val="5F5F5F"/>
          <w:sz w:val="20"/>
          <w:szCs w:val="20"/>
        </w:rPr>
        <w:t xml:space="preserve"> corrispondente valore dell’Italia; gli occupati rappresentano il </w:t>
      </w:r>
      <w:r w:rsidR="00F77395" w:rsidRPr="00C4145D">
        <w:rPr>
          <w:rFonts w:ascii="Trebuchet MS" w:hAnsi="Trebuchet MS" w:cs="Arial"/>
          <w:color w:val="5F5F5F"/>
          <w:sz w:val="20"/>
          <w:szCs w:val="20"/>
        </w:rPr>
        <w:t>41,4</w:t>
      </w:r>
      <w:r w:rsidRPr="00C4145D">
        <w:rPr>
          <w:rFonts w:ascii="Trebuchet MS" w:hAnsi="Trebuchet MS" w:cs="Arial"/>
          <w:color w:val="5F5F5F"/>
          <w:sz w:val="20"/>
          <w:szCs w:val="20"/>
        </w:rPr>
        <w:t xml:space="preserve">% della popolazione di 15 anni e più contro il 45,6% della media nazionale. </w:t>
      </w:r>
      <w:r w:rsidR="00C4145D" w:rsidRPr="00C4145D">
        <w:rPr>
          <w:rFonts w:ascii="Trebuchet MS" w:hAnsi="Trebuchet MS" w:cs="Arial"/>
          <w:color w:val="5F5F5F"/>
          <w:sz w:val="20"/>
          <w:szCs w:val="20"/>
        </w:rPr>
        <w:t>Pi</w:t>
      </w:r>
      <w:r w:rsidRPr="00C4145D">
        <w:rPr>
          <w:rFonts w:ascii="Trebuchet MS" w:hAnsi="Trebuchet MS" w:cs="Arial"/>
          <w:color w:val="5F5F5F"/>
          <w:sz w:val="20"/>
          <w:szCs w:val="20"/>
        </w:rPr>
        <w:t>ù elevato, invece, il tasso di disoccupazione (</w:t>
      </w:r>
      <w:r w:rsidR="00C4145D" w:rsidRPr="00C4145D">
        <w:rPr>
          <w:rFonts w:ascii="Trebuchet MS" w:hAnsi="Trebuchet MS" w:cs="Arial"/>
          <w:color w:val="5F5F5F"/>
          <w:sz w:val="20"/>
          <w:szCs w:val="20"/>
        </w:rPr>
        <w:t>16</w:t>
      </w:r>
      <w:r w:rsidRPr="00C4145D">
        <w:rPr>
          <w:rFonts w:ascii="Trebuchet MS" w:hAnsi="Trebuchet MS" w:cs="Arial"/>
          <w:color w:val="5F5F5F"/>
          <w:sz w:val="20"/>
          <w:szCs w:val="20"/>
        </w:rPr>
        <w:t xml:space="preserve">,9% </w:t>
      </w:r>
      <w:r w:rsidR="00427B53" w:rsidRPr="00C4145D">
        <w:rPr>
          <w:rFonts w:ascii="Trebuchet MS" w:hAnsi="Trebuchet MS" w:cs="Arial"/>
          <w:color w:val="5F5F5F"/>
          <w:sz w:val="20"/>
          <w:szCs w:val="20"/>
        </w:rPr>
        <w:t>Basilicata</w:t>
      </w:r>
      <w:r w:rsidRPr="00C4145D">
        <w:rPr>
          <w:rFonts w:ascii="Trebuchet MS" w:hAnsi="Trebuchet MS" w:cs="Arial"/>
          <w:color w:val="5F5F5F"/>
          <w:sz w:val="20"/>
          <w:szCs w:val="20"/>
        </w:rPr>
        <w:t xml:space="preserve"> e 13,1% Italia). Le differenze sono più marcate per la componente femminile, con un tasso di occupazione (</w:t>
      </w:r>
      <w:r w:rsidR="00C4145D" w:rsidRPr="00C4145D">
        <w:rPr>
          <w:rFonts w:ascii="Trebuchet MS" w:hAnsi="Trebuchet MS" w:cs="Arial"/>
          <w:color w:val="5F5F5F"/>
          <w:sz w:val="20"/>
          <w:szCs w:val="20"/>
        </w:rPr>
        <w:t>31,9</w:t>
      </w:r>
      <w:r w:rsidRPr="00C4145D">
        <w:rPr>
          <w:rFonts w:ascii="Trebuchet MS" w:hAnsi="Trebuchet MS" w:cs="Arial"/>
          <w:color w:val="5F5F5F"/>
          <w:sz w:val="20"/>
          <w:szCs w:val="20"/>
        </w:rPr>
        <w:t>%) di</w:t>
      </w:r>
      <w:r w:rsidR="00C4145D" w:rsidRPr="00C4145D">
        <w:rPr>
          <w:rFonts w:ascii="Trebuchet MS" w:hAnsi="Trebuchet MS" w:cs="Arial"/>
          <w:color w:val="5F5F5F"/>
          <w:sz w:val="20"/>
          <w:szCs w:val="20"/>
        </w:rPr>
        <w:t xml:space="preserve"> oltrecinque</w:t>
      </w:r>
      <w:r w:rsidRPr="00C4145D">
        <w:rPr>
          <w:rFonts w:ascii="Trebuchet MS" w:hAnsi="Trebuchet MS" w:cs="Arial"/>
          <w:color w:val="5F5F5F"/>
          <w:sz w:val="20"/>
          <w:szCs w:val="20"/>
        </w:rPr>
        <w:t xml:space="preserve"> punti più basso della media nazionale e un tasso di disoccupazione (2</w:t>
      </w:r>
      <w:r w:rsidR="00C4145D" w:rsidRPr="00C4145D">
        <w:rPr>
          <w:rFonts w:ascii="Trebuchet MS" w:hAnsi="Trebuchet MS" w:cs="Arial"/>
          <w:color w:val="5F5F5F"/>
          <w:sz w:val="20"/>
          <w:szCs w:val="20"/>
        </w:rPr>
        <w:t>0</w:t>
      </w:r>
      <w:r w:rsidRPr="00C4145D">
        <w:rPr>
          <w:rFonts w:ascii="Trebuchet MS" w:hAnsi="Trebuchet MS" w:cs="Arial"/>
          <w:color w:val="5F5F5F"/>
          <w:sz w:val="20"/>
          <w:szCs w:val="20"/>
        </w:rPr>
        <w:t>,</w:t>
      </w:r>
      <w:r w:rsidR="00C4145D" w:rsidRPr="00C4145D">
        <w:rPr>
          <w:rFonts w:ascii="Trebuchet MS" w:hAnsi="Trebuchet MS" w:cs="Arial"/>
          <w:color w:val="5F5F5F"/>
          <w:sz w:val="20"/>
          <w:szCs w:val="20"/>
        </w:rPr>
        <w:t>5</w:t>
      </w:r>
      <w:r w:rsidRPr="00C4145D">
        <w:rPr>
          <w:rFonts w:ascii="Trebuchet MS" w:hAnsi="Trebuchet MS" w:cs="Arial"/>
          <w:color w:val="5F5F5F"/>
          <w:sz w:val="20"/>
          <w:szCs w:val="20"/>
        </w:rPr>
        <w:t xml:space="preserve">%) che supera di </w:t>
      </w:r>
      <w:r w:rsidR="00C4145D" w:rsidRPr="00C4145D">
        <w:rPr>
          <w:rFonts w:ascii="Trebuchet MS" w:hAnsi="Trebuchet MS" w:cs="Arial"/>
          <w:color w:val="5F5F5F"/>
          <w:sz w:val="20"/>
          <w:szCs w:val="20"/>
        </w:rPr>
        <w:t>oltre cinque</w:t>
      </w:r>
      <w:r w:rsidRPr="00C4145D">
        <w:rPr>
          <w:rFonts w:ascii="Trebuchet MS" w:hAnsi="Trebuchet MS" w:cs="Arial"/>
          <w:color w:val="5F5F5F"/>
          <w:sz w:val="20"/>
          <w:szCs w:val="20"/>
        </w:rPr>
        <w:t xml:space="preserve"> punti il corrispondente valore nazionale.</w:t>
      </w:r>
    </w:p>
    <w:p w:rsidR="00D531E0" w:rsidRPr="00710C34" w:rsidRDefault="00D531E0" w:rsidP="004F2FB1">
      <w:pPr>
        <w:keepNext/>
        <w:keepLines/>
        <w:spacing w:before="240" w:after="60"/>
        <w:rPr>
          <w:rFonts w:ascii="Arial" w:hAnsi="Arial" w:cs="Arial"/>
          <w:iCs/>
          <w:color w:val="595959" w:themeColor="text1" w:themeTint="A6"/>
          <w:sz w:val="20"/>
          <w:szCs w:val="20"/>
        </w:rPr>
      </w:pPr>
      <w:r w:rsidRPr="00710C34">
        <w:rPr>
          <w:rFonts w:ascii="Arial Narrow" w:hAnsi="Arial Narrow"/>
          <w:b/>
          <w:bCs/>
          <w:color w:val="595959" w:themeColor="text1" w:themeTint="A6"/>
          <w:sz w:val="22"/>
          <w:szCs w:val="22"/>
        </w:rPr>
        <w:lastRenderedPageBreak/>
        <w:t xml:space="preserve">PROSPETTO 11. </w:t>
      </w:r>
      <w:r w:rsidRPr="00710C34">
        <w:rPr>
          <w:rFonts w:ascii="Arial Narrow" w:hAnsi="Arial Narrow"/>
          <w:color w:val="595959" w:themeColor="text1" w:themeTint="A6"/>
          <w:sz w:val="22"/>
          <w:szCs w:val="22"/>
        </w:rPr>
        <w:t>INDICATORI DEL MERCATO DEL LAVORO</w:t>
      </w:r>
      <w:r w:rsidR="0006580F" w:rsidRPr="00361C95">
        <w:rPr>
          <w:rStyle w:val="Rimandonotaapidipagina"/>
          <w:rFonts w:ascii="Arial Narrow" w:hAnsi="Arial Narrow"/>
          <w:color w:val="595959" w:themeColor="text1" w:themeTint="A6"/>
          <w:sz w:val="22"/>
          <w:szCs w:val="22"/>
        </w:rPr>
        <w:footnoteReference w:id="8"/>
      </w:r>
      <w:r w:rsidRPr="00710C34">
        <w:rPr>
          <w:rFonts w:ascii="Arial Narrow" w:hAnsi="Arial Narrow"/>
          <w:color w:val="595959" w:themeColor="text1" w:themeTint="A6"/>
          <w:sz w:val="22"/>
          <w:szCs w:val="22"/>
        </w:rPr>
        <w:t xml:space="preserve">, </w:t>
      </w:r>
      <w:r w:rsidR="002F22AC">
        <w:rPr>
          <w:rFonts w:ascii="Arial Narrow" w:hAnsi="Arial Narrow"/>
          <w:color w:val="595959" w:themeColor="text1" w:themeTint="A6"/>
          <w:sz w:val="22"/>
          <w:szCs w:val="22"/>
        </w:rPr>
        <w:t>BASILICATA</w:t>
      </w:r>
      <w:r w:rsidRPr="00710C34">
        <w:rPr>
          <w:rFonts w:ascii="Arial Narrow" w:hAnsi="Arial Narrow"/>
          <w:color w:val="595959" w:themeColor="text1" w:themeTint="A6"/>
          <w:sz w:val="22"/>
          <w:szCs w:val="22"/>
        </w:rPr>
        <w:t xml:space="preserve">E ITALIA. </w:t>
      </w:r>
      <w:r w:rsidRPr="004F2FB1">
        <w:rPr>
          <w:rFonts w:ascii="Arial Narrow" w:hAnsi="Arial Narrow"/>
          <w:color w:val="595959" w:themeColor="text1" w:themeTint="A6"/>
          <w:sz w:val="20"/>
          <w:szCs w:val="20"/>
        </w:rPr>
        <w:t>Censiment</w:t>
      </w:r>
      <w:r w:rsidR="004F2FB1" w:rsidRPr="004F2FB1">
        <w:rPr>
          <w:rFonts w:ascii="Arial Narrow" w:hAnsi="Arial Narrow"/>
          <w:color w:val="595959" w:themeColor="text1" w:themeTint="A6"/>
          <w:sz w:val="20"/>
          <w:szCs w:val="20"/>
        </w:rPr>
        <w:t>i</w:t>
      </w:r>
      <w:r w:rsidRPr="004F2FB1">
        <w:rPr>
          <w:rFonts w:ascii="Arial Narrow" w:hAnsi="Arial Narrow"/>
          <w:color w:val="595959" w:themeColor="text1" w:themeTint="A6"/>
          <w:sz w:val="20"/>
          <w:szCs w:val="20"/>
        </w:rPr>
        <w:t xml:space="preserve"> 2019, 2018 e 2011</w:t>
      </w:r>
    </w:p>
    <w:tbl>
      <w:tblPr>
        <w:tblW w:w="5000" w:type="pct"/>
        <w:tblCellMar>
          <w:left w:w="70" w:type="dxa"/>
          <w:right w:w="70" w:type="dxa"/>
        </w:tblCellMar>
        <w:tblLook w:val="04A0"/>
      </w:tblPr>
      <w:tblGrid>
        <w:gridCol w:w="2374"/>
        <w:gridCol w:w="714"/>
        <w:gridCol w:w="900"/>
        <w:gridCol w:w="798"/>
        <w:gridCol w:w="823"/>
        <w:gridCol w:w="888"/>
        <w:gridCol w:w="747"/>
        <w:gridCol w:w="823"/>
        <w:gridCol w:w="888"/>
        <w:gridCol w:w="823"/>
      </w:tblGrid>
      <w:tr w:rsidR="002F22AC" w:rsidTr="004F2FB1">
        <w:trPr>
          <w:trHeight w:val="255"/>
        </w:trPr>
        <w:tc>
          <w:tcPr>
            <w:tcW w:w="1214" w:type="pct"/>
            <w:vMerge w:val="restart"/>
            <w:tcBorders>
              <w:top w:val="single" w:sz="4" w:space="0" w:color="auto"/>
              <w:left w:val="nil"/>
              <w:bottom w:val="single" w:sz="4" w:space="0" w:color="auto"/>
              <w:right w:val="nil"/>
            </w:tcBorders>
            <w:shd w:val="clear" w:color="auto" w:fill="auto"/>
            <w:noWrap/>
            <w:vAlign w:val="center"/>
            <w:hideMark/>
          </w:tcPr>
          <w:p w:rsidR="002F22AC" w:rsidRDefault="002F22AC" w:rsidP="004F2FB1">
            <w:pPr>
              <w:keepNext/>
              <w:keepLines/>
              <w:rPr>
                <w:rFonts w:ascii="Arial Narrow" w:hAnsi="Arial Narrow" w:cs="Calibri"/>
                <w:b/>
                <w:bCs/>
                <w:color w:val="000000"/>
                <w:sz w:val="18"/>
                <w:szCs w:val="18"/>
              </w:rPr>
            </w:pPr>
            <w:r>
              <w:rPr>
                <w:rFonts w:ascii="Arial Narrow" w:hAnsi="Arial Narrow" w:cs="Calibri"/>
                <w:b/>
                <w:bCs/>
                <w:color w:val="000000"/>
                <w:sz w:val="18"/>
                <w:szCs w:val="18"/>
              </w:rPr>
              <w:t>INDICATORI</w:t>
            </w:r>
          </w:p>
        </w:tc>
        <w:tc>
          <w:tcPr>
            <w:tcW w:w="1233" w:type="pct"/>
            <w:gridSpan w:val="3"/>
            <w:tcBorders>
              <w:top w:val="single" w:sz="4" w:space="0" w:color="auto"/>
              <w:left w:val="nil"/>
              <w:bottom w:val="single" w:sz="4" w:space="0" w:color="auto"/>
              <w:right w:val="nil"/>
            </w:tcBorders>
            <w:shd w:val="clear" w:color="000000" w:fill="D9D9D9"/>
            <w:vAlign w:val="center"/>
            <w:hideMark/>
          </w:tcPr>
          <w:p w:rsidR="002F22AC" w:rsidRDefault="002F22AC" w:rsidP="004F2FB1">
            <w:pPr>
              <w:keepNext/>
              <w:keepLines/>
              <w:jc w:val="center"/>
              <w:rPr>
                <w:rFonts w:ascii="Arial Narrow" w:hAnsi="Arial Narrow" w:cs="Calibri"/>
                <w:b/>
                <w:bCs/>
                <w:color w:val="000000"/>
                <w:sz w:val="18"/>
                <w:szCs w:val="18"/>
              </w:rPr>
            </w:pPr>
            <w:r>
              <w:rPr>
                <w:rFonts w:ascii="Arial Narrow" w:hAnsi="Arial Narrow" w:cs="Calibri"/>
                <w:b/>
                <w:bCs/>
                <w:color w:val="000000"/>
                <w:sz w:val="18"/>
                <w:szCs w:val="18"/>
              </w:rPr>
              <w:t>2019</w:t>
            </w:r>
          </w:p>
        </w:tc>
        <w:tc>
          <w:tcPr>
            <w:tcW w:w="1257" w:type="pct"/>
            <w:gridSpan w:val="3"/>
            <w:tcBorders>
              <w:top w:val="single" w:sz="4" w:space="0" w:color="auto"/>
              <w:left w:val="nil"/>
              <w:bottom w:val="single" w:sz="4" w:space="0" w:color="auto"/>
              <w:right w:val="nil"/>
            </w:tcBorders>
            <w:shd w:val="clear" w:color="auto" w:fill="auto"/>
            <w:vAlign w:val="center"/>
            <w:hideMark/>
          </w:tcPr>
          <w:p w:rsidR="002F22AC" w:rsidRDefault="002F22AC" w:rsidP="004F2FB1">
            <w:pPr>
              <w:keepNext/>
              <w:keepLines/>
              <w:jc w:val="center"/>
              <w:rPr>
                <w:rFonts w:ascii="Arial Narrow" w:hAnsi="Arial Narrow" w:cs="Calibri"/>
                <w:b/>
                <w:bCs/>
                <w:color w:val="000000"/>
                <w:sz w:val="18"/>
                <w:szCs w:val="18"/>
              </w:rPr>
            </w:pPr>
            <w:r>
              <w:rPr>
                <w:rFonts w:ascii="Arial Narrow" w:hAnsi="Arial Narrow" w:cs="Calibri"/>
                <w:b/>
                <w:bCs/>
                <w:color w:val="000000"/>
                <w:sz w:val="18"/>
                <w:szCs w:val="18"/>
              </w:rPr>
              <w:t>2018</w:t>
            </w:r>
          </w:p>
        </w:tc>
        <w:tc>
          <w:tcPr>
            <w:tcW w:w="1296" w:type="pct"/>
            <w:gridSpan w:val="3"/>
            <w:tcBorders>
              <w:top w:val="single" w:sz="4" w:space="0" w:color="auto"/>
              <w:left w:val="nil"/>
              <w:bottom w:val="single" w:sz="4" w:space="0" w:color="auto"/>
              <w:right w:val="nil"/>
            </w:tcBorders>
            <w:shd w:val="clear" w:color="000000" w:fill="D9D9D9"/>
            <w:vAlign w:val="center"/>
            <w:hideMark/>
          </w:tcPr>
          <w:p w:rsidR="002F22AC" w:rsidRDefault="002F22AC" w:rsidP="004F2FB1">
            <w:pPr>
              <w:keepNext/>
              <w:keepLines/>
              <w:jc w:val="center"/>
              <w:rPr>
                <w:rFonts w:ascii="Arial Narrow" w:hAnsi="Arial Narrow" w:cs="Calibri"/>
                <w:b/>
                <w:bCs/>
                <w:color w:val="000000"/>
                <w:sz w:val="18"/>
                <w:szCs w:val="18"/>
              </w:rPr>
            </w:pPr>
            <w:r>
              <w:rPr>
                <w:rFonts w:ascii="Arial Narrow" w:hAnsi="Arial Narrow" w:cs="Calibri"/>
                <w:b/>
                <w:bCs/>
                <w:color w:val="000000"/>
                <w:sz w:val="18"/>
                <w:szCs w:val="18"/>
              </w:rPr>
              <w:t>2011</w:t>
            </w:r>
          </w:p>
        </w:tc>
      </w:tr>
      <w:tr w:rsidR="002F22AC" w:rsidTr="004F2FB1">
        <w:trPr>
          <w:trHeight w:val="255"/>
        </w:trPr>
        <w:tc>
          <w:tcPr>
            <w:tcW w:w="1214" w:type="pct"/>
            <w:vMerge/>
            <w:tcBorders>
              <w:top w:val="single" w:sz="4" w:space="0" w:color="auto"/>
              <w:left w:val="nil"/>
              <w:bottom w:val="single" w:sz="4" w:space="0" w:color="auto"/>
              <w:right w:val="nil"/>
            </w:tcBorders>
            <w:vAlign w:val="center"/>
            <w:hideMark/>
          </w:tcPr>
          <w:p w:rsidR="002F22AC" w:rsidRDefault="002F22AC" w:rsidP="004F2FB1">
            <w:pPr>
              <w:keepNext/>
              <w:keepLines/>
              <w:rPr>
                <w:rFonts w:ascii="Arial Narrow" w:hAnsi="Arial Narrow" w:cs="Calibri"/>
                <w:b/>
                <w:bCs/>
                <w:color w:val="000000"/>
                <w:sz w:val="18"/>
                <w:szCs w:val="18"/>
              </w:rPr>
            </w:pPr>
          </w:p>
        </w:tc>
        <w:tc>
          <w:tcPr>
            <w:tcW w:w="365" w:type="pct"/>
            <w:tcBorders>
              <w:top w:val="single" w:sz="4" w:space="0" w:color="auto"/>
              <w:left w:val="nil"/>
              <w:bottom w:val="single" w:sz="4" w:space="0" w:color="auto"/>
              <w:right w:val="nil"/>
            </w:tcBorders>
            <w:shd w:val="clear" w:color="auto" w:fill="auto"/>
            <w:noWrap/>
            <w:vAlign w:val="center"/>
            <w:hideMark/>
          </w:tcPr>
          <w:p w:rsidR="002F22AC" w:rsidRDefault="002F22AC" w:rsidP="004F2FB1">
            <w:pPr>
              <w:keepNext/>
              <w:keepLines/>
              <w:jc w:val="right"/>
              <w:rPr>
                <w:rFonts w:ascii="Arial Narrow" w:hAnsi="Arial Narrow" w:cs="Calibri"/>
                <w:color w:val="000000"/>
                <w:sz w:val="18"/>
                <w:szCs w:val="18"/>
              </w:rPr>
            </w:pPr>
            <w:r>
              <w:rPr>
                <w:rFonts w:ascii="Arial Narrow" w:hAnsi="Arial Narrow" w:cs="Calibri"/>
                <w:color w:val="000000"/>
                <w:sz w:val="18"/>
                <w:szCs w:val="18"/>
              </w:rPr>
              <w:t>Maschi</w:t>
            </w:r>
          </w:p>
        </w:tc>
        <w:tc>
          <w:tcPr>
            <w:tcW w:w="460" w:type="pct"/>
            <w:tcBorders>
              <w:top w:val="single" w:sz="4" w:space="0" w:color="auto"/>
              <w:left w:val="nil"/>
              <w:bottom w:val="single" w:sz="4" w:space="0" w:color="auto"/>
              <w:right w:val="nil"/>
            </w:tcBorders>
            <w:shd w:val="clear" w:color="auto" w:fill="auto"/>
            <w:vAlign w:val="center"/>
            <w:hideMark/>
          </w:tcPr>
          <w:p w:rsidR="002F22AC" w:rsidRDefault="002F22AC" w:rsidP="004F2FB1">
            <w:pPr>
              <w:keepNext/>
              <w:keepLines/>
              <w:jc w:val="right"/>
              <w:rPr>
                <w:rFonts w:ascii="Arial Narrow" w:hAnsi="Arial Narrow" w:cs="Calibri"/>
                <w:color w:val="000000"/>
                <w:sz w:val="18"/>
                <w:szCs w:val="18"/>
              </w:rPr>
            </w:pPr>
            <w:r>
              <w:rPr>
                <w:rFonts w:ascii="Arial Narrow" w:hAnsi="Arial Narrow" w:cs="Calibri"/>
                <w:color w:val="000000"/>
                <w:sz w:val="18"/>
                <w:szCs w:val="18"/>
              </w:rPr>
              <w:t>Femmine</w:t>
            </w:r>
          </w:p>
        </w:tc>
        <w:tc>
          <w:tcPr>
            <w:tcW w:w="407" w:type="pct"/>
            <w:tcBorders>
              <w:top w:val="single" w:sz="4" w:space="0" w:color="auto"/>
              <w:left w:val="nil"/>
              <w:bottom w:val="single" w:sz="4" w:space="0" w:color="auto"/>
              <w:right w:val="nil"/>
            </w:tcBorders>
            <w:shd w:val="clear" w:color="auto" w:fill="auto"/>
            <w:vAlign w:val="center"/>
            <w:hideMark/>
          </w:tcPr>
          <w:p w:rsidR="002F22AC" w:rsidRDefault="002F22AC" w:rsidP="004F2FB1">
            <w:pPr>
              <w:keepNext/>
              <w:keepLines/>
              <w:jc w:val="right"/>
              <w:rPr>
                <w:rFonts w:ascii="Arial Narrow" w:hAnsi="Arial Narrow" w:cs="Calibri"/>
                <w:color w:val="000000"/>
                <w:sz w:val="18"/>
                <w:szCs w:val="18"/>
              </w:rPr>
            </w:pPr>
            <w:r>
              <w:rPr>
                <w:rFonts w:ascii="Arial Narrow" w:hAnsi="Arial Narrow" w:cs="Calibri"/>
                <w:color w:val="000000"/>
                <w:sz w:val="18"/>
                <w:szCs w:val="18"/>
              </w:rPr>
              <w:t>Totale</w:t>
            </w:r>
          </w:p>
        </w:tc>
        <w:tc>
          <w:tcPr>
            <w:tcW w:w="421" w:type="pct"/>
            <w:tcBorders>
              <w:top w:val="single" w:sz="4" w:space="0" w:color="auto"/>
              <w:left w:val="nil"/>
              <w:bottom w:val="single" w:sz="4" w:space="0" w:color="auto"/>
              <w:right w:val="nil"/>
            </w:tcBorders>
            <w:shd w:val="clear" w:color="auto" w:fill="auto"/>
            <w:noWrap/>
            <w:vAlign w:val="center"/>
            <w:hideMark/>
          </w:tcPr>
          <w:p w:rsidR="002F22AC" w:rsidRDefault="002F22AC" w:rsidP="004F2FB1">
            <w:pPr>
              <w:keepNext/>
              <w:keepLines/>
              <w:jc w:val="right"/>
              <w:rPr>
                <w:rFonts w:ascii="Arial Narrow" w:hAnsi="Arial Narrow" w:cs="Calibri"/>
                <w:color w:val="000000"/>
                <w:sz w:val="18"/>
                <w:szCs w:val="18"/>
              </w:rPr>
            </w:pPr>
            <w:r>
              <w:rPr>
                <w:rFonts w:ascii="Arial Narrow" w:hAnsi="Arial Narrow" w:cs="Calibri"/>
                <w:color w:val="000000"/>
                <w:sz w:val="18"/>
                <w:szCs w:val="18"/>
              </w:rPr>
              <w:t>Maschi</w:t>
            </w:r>
          </w:p>
        </w:tc>
        <w:tc>
          <w:tcPr>
            <w:tcW w:w="454" w:type="pct"/>
            <w:tcBorders>
              <w:top w:val="single" w:sz="4" w:space="0" w:color="auto"/>
              <w:left w:val="nil"/>
              <w:bottom w:val="single" w:sz="4" w:space="0" w:color="auto"/>
              <w:right w:val="nil"/>
            </w:tcBorders>
            <w:shd w:val="clear" w:color="auto" w:fill="auto"/>
            <w:vAlign w:val="center"/>
            <w:hideMark/>
          </w:tcPr>
          <w:p w:rsidR="002F22AC" w:rsidRDefault="002F22AC" w:rsidP="004F2FB1">
            <w:pPr>
              <w:keepNext/>
              <w:keepLines/>
              <w:jc w:val="right"/>
              <w:rPr>
                <w:rFonts w:ascii="Arial Narrow" w:hAnsi="Arial Narrow" w:cs="Calibri"/>
                <w:color w:val="000000"/>
                <w:sz w:val="18"/>
                <w:szCs w:val="18"/>
              </w:rPr>
            </w:pPr>
            <w:r>
              <w:rPr>
                <w:rFonts w:ascii="Arial Narrow" w:hAnsi="Arial Narrow" w:cs="Calibri"/>
                <w:color w:val="000000"/>
                <w:sz w:val="18"/>
                <w:szCs w:val="18"/>
              </w:rPr>
              <w:t>Femmine</w:t>
            </w:r>
          </w:p>
        </w:tc>
        <w:tc>
          <w:tcPr>
            <w:tcW w:w="382" w:type="pct"/>
            <w:tcBorders>
              <w:top w:val="single" w:sz="4" w:space="0" w:color="auto"/>
              <w:left w:val="nil"/>
              <w:bottom w:val="single" w:sz="4" w:space="0" w:color="auto"/>
              <w:right w:val="nil"/>
            </w:tcBorders>
            <w:shd w:val="clear" w:color="auto" w:fill="auto"/>
            <w:vAlign w:val="center"/>
            <w:hideMark/>
          </w:tcPr>
          <w:p w:rsidR="002F22AC" w:rsidRDefault="002F22AC" w:rsidP="004F2FB1">
            <w:pPr>
              <w:keepNext/>
              <w:keepLines/>
              <w:jc w:val="right"/>
              <w:rPr>
                <w:rFonts w:ascii="Arial Narrow" w:hAnsi="Arial Narrow" w:cs="Calibri"/>
                <w:color w:val="000000"/>
                <w:sz w:val="18"/>
                <w:szCs w:val="18"/>
              </w:rPr>
            </w:pPr>
            <w:r>
              <w:rPr>
                <w:rFonts w:ascii="Arial Narrow" w:hAnsi="Arial Narrow" w:cs="Calibri"/>
                <w:color w:val="000000"/>
                <w:sz w:val="18"/>
                <w:szCs w:val="18"/>
              </w:rPr>
              <w:t>Totale</w:t>
            </w:r>
          </w:p>
        </w:tc>
        <w:tc>
          <w:tcPr>
            <w:tcW w:w="421" w:type="pct"/>
            <w:tcBorders>
              <w:top w:val="single" w:sz="4" w:space="0" w:color="auto"/>
              <w:left w:val="nil"/>
              <w:bottom w:val="single" w:sz="4" w:space="0" w:color="auto"/>
              <w:right w:val="nil"/>
            </w:tcBorders>
            <w:shd w:val="clear" w:color="auto" w:fill="auto"/>
            <w:noWrap/>
            <w:vAlign w:val="center"/>
            <w:hideMark/>
          </w:tcPr>
          <w:p w:rsidR="002F22AC" w:rsidRDefault="002F22AC" w:rsidP="004F2FB1">
            <w:pPr>
              <w:keepNext/>
              <w:keepLines/>
              <w:jc w:val="right"/>
              <w:rPr>
                <w:rFonts w:ascii="Arial Narrow" w:hAnsi="Arial Narrow" w:cs="Calibri"/>
                <w:color w:val="000000"/>
                <w:sz w:val="18"/>
                <w:szCs w:val="18"/>
              </w:rPr>
            </w:pPr>
            <w:r>
              <w:rPr>
                <w:rFonts w:ascii="Arial Narrow" w:hAnsi="Arial Narrow" w:cs="Calibri"/>
                <w:color w:val="000000"/>
                <w:sz w:val="18"/>
                <w:szCs w:val="18"/>
              </w:rPr>
              <w:t>Maschi</w:t>
            </w:r>
          </w:p>
        </w:tc>
        <w:tc>
          <w:tcPr>
            <w:tcW w:w="454" w:type="pct"/>
            <w:tcBorders>
              <w:top w:val="single" w:sz="4" w:space="0" w:color="auto"/>
              <w:left w:val="nil"/>
              <w:bottom w:val="single" w:sz="4" w:space="0" w:color="auto"/>
              <w:right w:val="nil"/>
            </w:tcBorders>
            <w:shd w:val="clear" w:color="auto" w:fill="auto"/>
            <w:vAlign w:val="center"/>
            <w:hideMark/>
          </w:tcPr>
          <w:p w:rsidR="002F22AC" w:rsidRDefault="002F22AC" w:rsidP="004F2FB1">
            <w:pPr>
              <w:keepNext/>
              <w:keepLines/>
              <w:jc w:val="right"/>
              <w:rPr>
                <w:rFonts w:ascii="Arial Narrow" w:hAnsi="Arial Narrow" w:cs="Calibri"/>
                <w:color w:val="000000"/>
                <w:sz w:val="18"/>
                <w:szCs w:val="18"/>
              </w:rPr>
            </w:pPr>
            <w:r>
              <w:rPr>
                <w:rFonts w:ascii="Arial Narrow" w:hAnsi="Arial Narrow" w:cs="Calibri"/>
                <w:color w:val="000000"/>
                <w:sz w:val="18"/>
                <w:szCs w:val="18"/>
              </w:rPr>
              <w:t>Femmine</w:t>
            </w:r>
          </w:p>
        </w:tc>
        <w:tc>
          <w:tcPr>
            <w:tcW w:w="421" w:type="pct"/>
            <w:tcBorders>
              <w:top w:val="single" w:sz="4" w:space="0" w:color="auto"/>
              <w:left w:val="nil"/>
              <w:bottom w:val="single" w:sz="4" w:space="0" w:color="auto"/>
              <w:right w:val="nil"/>
            </w:tcBorders>
            <w:shd w:val="clear" w:color="auto" w:fill="auto"/>
            <w:vAlign w:val="center"/>
            <w:hideMark/>
          </w:tcPr>
          <w:p w:rsidR="002F22AC" w:rsidRDefault="002F22AC" w:rsidP="004F2FB1">
            <w:pPr>
              <w:keepNext/>
              <w:keepLines/>
              <w:jc w:val="right"/>
              <w:rPr>
                <w:rFonts w:ascii="Arial Narrow" w:hAnsi="Arial Narrow" w:cs="Calibri"/>
                <w:color w:val="000000"/>
                <w:sz w:val="18"/>
                <w:szCs w:val="18"/>
              </w:rPr>
            </w:pPr>
            <w:r>
              <w:rPr>
                <w:rFonts w:ascii="Arial Narrow" w:hAnsi="Arial Narrow" w:cs="Calibri"/>
                <w:color w:val="000000"/>
                <w:sz w:val="18"/>
                <w:szCs w:val="18"/>
              </w:rPr>
              <w:t>Totale</w:t>
            </w:r>
          </w:p>
        </w:tc>
      </w:tr>
      <w:tr w:rsidR="002F22AC" w:rsidTr="004F2FB1">
        <w:trPr>
          <w:trHeight w:val="255"/>
        </w:trPr>
        <w:tc>
          <w:tcPr>
            <w:tcW w:w="1214" w:type="pct"/>
            <w:tcBorders>
              <w:top w:val="single" w:sz="4" w:space="0" w:color="auto"/>
              <w:left w:val="nil"/>
              <w:bottom w:val="single" w:sz="4" w:space="0" w:color="auto"/>
              <w:right w:val="nil"/>
            </w:tcBorders>
            <w:shd w:val="clear" w:color="auto" w:fill="C9321F"/>
            <w:noWrap/>
            <w:vAlign w:val="center"/>
            <w:hideMark/>
          </w:tcPr>
          <w:p w:rsidR="002F22AC" w:rsidRPr="004F2FB1" w:rsidRDefault="002F22AC" w:rsidP="004F2FB1">
            <w:pPr>
              <w:rPr>
                <w:rFonts w:ascii="Arial Narrow" w:hAnsi="Arial Narrow" w:cs="Calibri"/>
                <w:b/>
                <w:bCs/>
                <w:caps/>
                <w:color w:val="FFFFFF"/>
                <w:sz w:val="18"/>
                <w:szCs w:val="18"/>
              </w:rPr>
            </w:pPr>
            <w:r w:rsidRPr="004F2FB1">
              <w:rPr>
                <w:rFonts w:ascii="Arial Narrow" w:hAnsi="Arial Narrow" w:cs="Calibri"/>
                <w:b/>
                <w:bCs/>
                <w:caps/>
                <w:color w:val="FFFFFF"/>
                <w:sz w:val="18"/>
                <w:szCs w:val="18"/>
              </w:rPr>
              <w:t>Basilicata</w:t>
            </w:r>
          </w:p>
        </w:tc>
        <w:tc>
          <w:tcPr>
            <w:tcW w:w="365" w:type="pct"/>
            <w:tcBorders>
              <w:top w:val="single" w:sz="4" w:space="0" w:color="auto"/>
              <w:left w:val="nil"/>
              <w:bottom w:val="single" w:sz="4" w:space="0" w:color="auto"/>
              <w:right w:val="nil"/>
            </w:tcBorders>
            <w:shd w:val="clear" w:color="auto" w:fill="C9321F"/>
            <w:noWrap/>
            <w:vAlign w:val="center"/>
            <w:hideMark/>
          </w:tcPr>
          <w:p w:rsidR="002F22AC" w:rsidRPr="004F2FB1" w:rsidRDefault="002F22AC" w:rsidP="004F2FB1">
            <w:pPr>
              <w:jc w:val="right"/>
              <w:rPr>
                <w:rFonts w:ascii="Arial Narrow" w:hAnsi="Arial Narrow" w:cs="Calibri"/>
                <w:b/>
                <w:bCs/>
                <w:color w:val="FFFFFF"/>
                <w:sz w:val="18"/>
                <w:szCs w:val="18"/>
              </w:rPr>
            </w:pPr>
            <w:r w:rsidRPr="004F2FB1">
              <w:rPr>
                <w:rFonts w:ascii="Arial Narrow" w:hAnsi="Arial Narrow" w:cs="Calibri"/>
                <w:b/>
                <w:bCs/>
                <w:color w:val="FFFFFF"/>
                <w:sz w:val="18"/>
                <w:szCs w:val="18"/>
              </w:rPr>
              <w:t> </w:t>
            </w:r>
          </w:p>
        </w:tc>
        <w:tc>
          <w:tcPr>
            <w:tcW w:w="460" w:type="pct"/>
            <w:tcBorders>
              <w:top w:val="single" w:sz="4" w:space="0" w:color="auto"/>
              <w:left w:val="nil"/>
              <w:bottom w:val="single" w:sz="4" w:space="0" w:color="auto"/>
              <w:right w:val="nil"/>
            </w:tcBorders>
            <w:shd w:val="clear" w:color="auto" w:fill="C9321F"/>
            <w:vAlign w:val="center"/>
            <w:hideMark/>
          </w:tcPr>
          <w:p w:rsidR="002F22AC" w:rsidRPr="004F2FB1" w:rsidRDefault="002F22AC" w:rsidP="004F2FB1">
            <w:pPr>
              <w:jc w:val="right"/>
              <w:rPr>
                <w:rFonts w:ascii="Arial Narrow" w:hAnsi="Arial Narrow" w:cs="Calibri"/>
                <w:b/>
                <w:bCs/>
                <w:color w:val="FFFFFF"/>
                <w:sz w:val="18"/>
                <w:szCs w:val="18"/>
              </w:rPr>
            </w:pPr>
            <w:r w:rsidRPr="004F2FB1">
              <w:rPr>
                <w:rFonts w:ascii="Arial Narrow" w:hAnsi="Arial Narrow" w:cs="Calibri"/>
                <w:b/>
                <w:bCs/>
                <w:color w:val="FFFFFF"/>
                <w:sz w:val="18"/>
                <w:szCs w:val="18"/>
              </w:rPr>
              <w:t> </w:t>
            </w:r>
          </w:p>
        </w:tc>
        <w:tc>
          <w:tcPr>
            <w:tcW w:w="407" w:type="pct"/>
            <w:tcBorders>
              <w:top w:val="single" w:sz="4" w:space="0" w:color="auto"/>
              <w:left w:val="nil"/>
              <w:bottom w:val="single" w:sz="4" w:space="0" w:color="auto"/>
              <w:right w:val="nil"/>
            </w:tcBorders>
            <w:shd w:val="clear" w:color="auto" w:fill="C9321F"/>
            <w:vAlign w:val="center"/>
            <w:hideMark/>
          </w:tcPr>
          <w:p w:rsidR="002F22AC" w:rsidRPr="004F2FB1" w:rsidRDefault="002F22AC" w:rsidP="004F2FB1">
            <w:pPr>
              <w:jc w:val="right"/>
              <w:rPr>
                <w:rFonts w:ascii="Arial Narrow" w:hAnsi="Arial Narrow" w:cs="Calibri"/>
                <w:b/>
                <w:bCs/>
                <w:color w:val="FFFFFF"/>
                <w:sz w:val="18"/>
                <w:szCs w:val="18"/>
              </w:rPr>
            </w:pPr>
            <w:r w:rsidRPr="004F2FB1">
              <w:rPr>
                <w:rFonts w:ascii="Arial Narrow" w:hAnsi="Arial Narrow" w:cs="Calibri"/>
                <w:b/>
                <w:bCs/>
                <w:color w:val="FFFFFF"/>
                <w:sz w:val="18"/>
                <w:szCs w:val="18"/>
              </w:rPr>
              <w:t> </w:t>
            </w:r>
          </w:p>
        </w:tc>
        <w:tc>
          <w:tcPr>
            <w:tcW w:w="421" w:type="pct"/>
            <w:tcBorders>
              <w:top w:val="single" w:sz="4" w:space="0" w:color="auto"/>
              <w:left w:val="nil"/>
              <w:bottom w:val="single" w:sz="4" w:space="0" w:color="auto"/>
              <w:right w:val="nil"/>
            </w:tcBorders>
            <w:shd w:val="clear" w:color="auto" w:fill="C9321F"/>
            <w:vAlign w:val="center"/>
            <w:hideMark/>
          </w:tcPr>
          <w:p w:rsidR="002F22AC" w:rsidRPr="004F2FB1" w:rsidRDefault="002F22AC" w:rsidP="004F2FB1">
            <w:pPr>
              <w:jc w:val="right"/>
              <w:rPr>
                <w:rFonts w:ascii="Arial Narrow" w:hAnsi="Arial Narrow" w:cs="Calibri"/>
                <w:b/>
                <w:bCs/>
                <w:color w:val="FFFFFF"/>
                <w:sz w:val="18"/>
                <w:szCs w:val="18"/>
              </w:rPr>
            </w:pPr>
            <w:r w:rsidRPr="004F2FB1">
              <w:rPr>
                <w:rFonts w:ascii="Arial Narrow" w:hAnsi="Arial Narrow" w:cs="Calibri"/>
                <w:b/>
                <w:bCs/>
                <w:color w:val="FFFFFF"/>
                <w:sz w:val="18"/>
                <w:szCs w:val="18"/>
              </w:rPr>
              <w:t> </w:t>
            </w:r>
          </w:p>
        </w:tc>
        <w:tc>
          <w:tcPr>
            <w:tcW w:w="454" w:type="pct"/>
            <w:tcBorders>
              <w:top w:val="single" w:sz="4" w:space="0" w:color="auto"/>
              <w:left w:val="nil"/>
              <w:bottom w:val="single" w:sz="4" w:space="0" w:color="auto"/>
              <w:right w:val="nil"/>
            </w:tcBorders>
            <w:shd w:val="clear" w:color="auto" w:fill="C9321F"/>
            <w:vAlign w:val="center"/>
            <w:hideMark/>
          </w:tcPr>
          <w:p w:rsidR="002F22AC" w:rsidRPr="004F2FB1" w:rsidRDefault="002F22AC" w:rsidP="004F2FB1">
            <w:pPr>
              <w:jc w:val="right"/>
              <w:rPr>
                <w:rFonts w:ascii="Arial Narrow" w:hAnsi="Arial Narrow" w:cs="Calibri"/>
                <w:b/>
                <w:bCs/>
                <w:color w:val="FFFFFF"/>
                <w:sz w:val="18"/>
                <w:szCs w:val="18"/>
              </w:rPr>
            </w:pPr>
            <w:r w:rsidRPr="004F2FB1">
              <w:rPr>
                <w:rFonts w:ascii="Arial Narrow" w:hAnsi="Arial Narrow" w:cs="Calibri"/>
                <w:b/>
                <w:bCs/>
                <w:color w:val="FFFFFF"/>
                <w:sz w:val="18"/>
                <w:szCs w:val="18"/>
              </w:rPr>
              <w:t> </w:t>
            </w:r>
          </w:p>
        </w:tc>
        <w:tc>
          <w:tcPr>
            <w:tcW w:w="382" w:type="pct"/>
            <w:tcBorders>
              <w:top w:val="single" w:sz="4" w:space="0" w:color="auto"/>
              <w:left w:val="nil"/>
              <w:bottom w:val="single" w:sz="4" w:space="0" w:color="auto"/>
              <w:right w:val="nil"/>
            </w:tcBorders>
            <w:shd w:val="clear" w:color="auto" w:fill="C9321F"/>
            <w:vAlign w:val="center"/>
            <w:hideMark/>
          </w:tcPr>
          <w:p w:rsidR="002F22AC" w:rsidRPr="004F2FB1" w:rsidRDefault="002F22AC" w:rsidP="004F2FB1">
            <w:pPr>
              <w:jc w:val="right"/>
              <w:rPr>
                <w:rFonts w:ascii="Arial Narrow" w:hAnsi="Arial Narrow" w:cs="Calibri"/>
                <w:b/>
                <w:bCs/>
                <w:color w:val="FFFFFF"/>
                <w:sz w:val="18"/>
                <w:szCs w:val="18"/>
              </w:rPr>
            </w:pPr>
            <w:r w:rsidRPr="004F2FB1">
              <w:rPr>
                <w:rFonts w:ascii="Arial Narrow" w:hAnsi="Arial Narrow" w:cs="Calibri"/>
                <w:b/>
                <w:bCs/>
                <w:color w:val="FFFFFF"/>
                <w:sz w:val="18"/>
                <w:szCs w:val="18"/>
              </w:rPr>
              <w:t> </w:t>
            </w:r>
          </w:p>
        </w:tc>
        <w:tc>
          <w:tcPr>
            <w:tcW w:w="421" w:type="pct"/>
            <w:tcBorders>
              <w:top w:val="single" w:sz="4" w:space="0" w:color="auto"/>
              <w:left w:val="nil"/>
              <w:bottom w:val="single" w:sz="4" w:space="0" w:color="auto"/>
              <w:right w:val="nil"/>
            </w:tcBorders>
            <w:shd w:val="clear" w:color="auto" w:fill="C9321F"/>
            <w:vAlign w:val="center"/>
            <w:hideMark/>
          </w:tcPr>
          <w:p w:rsidR="002F22AC" w:rsidRPr="004F2FB1" w:rsidRDefault="002F22AC" w:rsidP="004F2FB1">
            <w:pPr>
              <w:jc w:val="right"/>
              <w:rPr>
                <w:rFonts w:ascii="Arial Narrow" w:hAnsi="Arial Narrow" w:cs="Calibri"/>
                <w:b/>
                <w:bCs/>
                <w:color w:val="FFFFFF"/>
                <w:sz w:val="18"/>
                <w:szCs w:val="18"/>
              </w:rPr>
            </w:pPr>
            <w:r w:rsidRPr="004F2FB1">
              <w:rPr>
                <w:rFonts w:ascii="Arial Narrow" w:hAnsi="Arial Narrow" w:cs="Calibri"/>
                <w:b/>
                <w:bCs/>
                <w:color w:val="FFFFFF"/>
                <w:sz w:val="18"/>
                <w:szCs w:val="18"/>
              </w:rPr>
              <w:t> </w:t>
            </w:r>
          </w:p>
        </w:tc>
        <w:tc>
          <w:tcPr>
            <w:tcW w:w="454" w:type="pct"/>
            <w:tcBorders>
              <w:top w:val="single" w:sz="4" w:space="0" w:color="auto"/>
              <w:left w:val="nil"/>
              <w:bottom w:val="single" w:sz="4" w:space="0" w:color="auto"/>
              <w:right w:val="nil"/>
            </w:tcBorders>
            <w:shd w:val="clear" w:color="auto" w:fill="C9321F"/>
            <w:noWrap/>
            <w:vAlign w:val="center"/>
            <w:hideMark/>
          </w:tcPr>
          <w:p w:rsidR="002F22AC" w:rsidRPr="004F2FB1" w:rsidRDefault="002F22AC" w:rsidP="004F2FB1">
            <w:pPr>
              <w:jc w:val="right"/>
              <w:rPr>
                <w:rFonts w:ascii="Arial Narrow" w:hAnsi="Arial Narrow" w:cs="Calibri"/>
                <w:b/>
                <w:bCs/>
                <w:color w:val="FFFFFF"/>
                <w:sz w:val="18"/>
                <w:szCs w:val="18"/>
              </w:rPr>
            </w:pPr>
            <w:r w:rsidRPr="004F2FB1">
              <w:rPr>
                <w:rFonts w:ascii="Arial Narrow" w:hAnsi="Arial Narrow" w:cs="Calibri"/>
                <w:b/>
                <w:bCs/>
                <w:color w:val="FFFFFF"/>
                <w:sz w:val="18"/>
                <w:szCs w:val="18"/>
              </w:rPr>
              <w:t> </w:t>
            </w:r>
          </w:p>
        </w:tc>
        <w:tc>
          <w:tcPr>
            <w:tcW w:w="421" w:type="pct"/>
            <w:tcBorders>
              <w:top w:val="single" w:sz="4" w:space="0" w:color="auto"/>
              <w:left w:val="nil"/>
              <w:bottom w:val="single" w:sz="4" w:space="0" w:color="auto"/>
              <w:right w:val="nil"/>
            </w:tcBorders>
            <w:shd w:val="clear" w:color="auto" w:fill="C9321F"/>
            <w:noWrap/>
            <w:vAlign w:val="center"/>
            <w:hideMark/>
          </w:tcPr>
          <w:p w:rsidR="002F22AC" w:rsidRPr="004F2FB1" w:rsidRDefault="002F22AC" w:rsidP="004F2FB1">
            <w:pPr>
              <w:jc w:val="right"/>
              <w:rPr>
                <w:rFonts w:ascii="Arial Narrow" w:hAnsi="Arial Narrow" w:cs="Calibri"/>
                <w:b/>
                <w:bCs/>
                <w:color w:val="FFFFFF"/>
                <w:sz w:val="18"/>
                <w:szCs w:val="18"/>
              </w:rPr>
            </w:pPr>
            <w:r w:rsidRPr="004F2FB1">
              <w:rPr>
                <w:rFonts w:ascii="Arial Narrow" w:hAnsi="Arial Narrow" w:cs="Calibri"/>
                <w:b/>
                <w:bCs/>
                <w:color w:val="FFFFFF"/>
                <w:sz w:val="18"/>
                <w:szCs w:val="18"/>
              </w:rPr>
              <w:t> </w:t>
            </w:r>
          </w:p>
        </w:tc>
      </w:tr>
      <w:tr w:rsidR="002F22AC" w:rsidTr="004F2FB1">
        <w:trPr>
          <w:trHeight w:val="255"/>
        </w:trPr>
        <w:tc>
          <w:tcPr>
            <w:tcW w:w="1214" w:type="pct"/>
            <w:tcBorders>
              <w:top w:val="single" w:sz="4" w:space="0" w:color="auto"/>
              <w:left w:val="nil"/>
              <w:bottom w:val="single" w:sz="4" w:space="0" w:color="auto"/>
              <w:right w:val="nil"/>
            </w:tcBorders>
            <w:shd w:val="clear" w:color="auto" w:fill="auto"/>
            <w:noWrap/>
            <w:vAlign w:val="center"/>
            <w:hideMark/>
          </w:tcPr>
          <w:p w:rsidR="002F22AC" w:rsidRDefault="002F22AC" w:rsidP="004F2FB1">
            <w:pPr>
              <w:keepNext/>
              <w:keepLines/>
              <w:ind w:firstLineChars="100" w:firstLine="180"/>
              <w:rPr>
                <w:rFonts w:ascii="Arial Narrow" w:hAnsi="Arial Narrow" w:cs="Calibri"/>
                <w:color w:val="000000"/>
                <w:sz w:val="18"/>
                <w:szCs w:val="18"/>
              </w:rPr>
            </w:pPr>
            <w:r>
              <w:rPr>
                <w:rFonts w:ascii="Arial Narrow" w:hAnsi="Arial Narrow" w:cs="Calibri"/>
                <w:color w:val="000000"/>
                <w:sz w:val="18"/>
                <w:szCs w:val="18"/>
              </w:rPr>
              <w:t>Tasso di attività</w:t>
            </w:r>
          </w:p>
        </w:tc>
        <w:tc>
          <w:tcPr>
            <w:tcW w:w="365" w:type="pct"/>
            <w:tcBorders>
              <w:top w:val="single" w:sz="4" w:space="0" w:color="auto"/>
              <w:left w:val="nil"/>
              <w:bottom w:val="single" w:sz="4" w:space="0" w:color="auto"/>
              <w:right w:val="nil"/>
            </w:tcBorders>
            <w:shd w:val="clear" w:color="000000" w:fill="D9D9D9"/>
            <w:noWrap/>
            <w:vAlign w:val="center"/>
            <w:hideMark/>
          </w:tcPr>
          <w:p w:rsidR="002F22AC" w:rsidRDefault="002F22AC" w:rsidP="004F2FB1">
            <w:pPr>
              <w:keepNext/>
              <w:keepLines/>
              <w:jc w:val="right"/>
              <w:rPr>
                <w:rFonts w:ascii="Arial Narrow" w:hAnsi="Arial Narrow" w:cs="Calibri"/>
                <w:color w:val="000000"/>
                <w:sz w:val="18"/>
                <w:szCs w:val="18"/>
              </w:rPr>
            </w:pPr>
            <w:r>
              <w:rPr>
                <w:rFonts w:ascii="Arial Narrow" w:hAnsi="Arial Narrow" w:cs="Calibri"/>
                <w:color w:val="000000"/>
                <w:sz w:val="18"/>
                <w:szCs w:val="18"/>
              </w:rPr>
              <w:t>60,0</w:t>
            </w:r>
          </w:p>
        </w:tc>
        <w:tc>
          <w:tcPr>
            <w:tcW w:w="460" w:type="pct"/>
            <w:tcBorders>
              <w:top w:val="single" w:sz="4" w:space="0" w:color="auto"/>
              <w:left w:val="nil"/>
              <w:bottom w:val="single" w:sz="4" w:space="0" w:color="auto"/>
              <w:right w:val="nil"/>
            </w:tcBorders>
            <w:shd w:val="clear" w:color="auto" w:fill="auto"/>
            <w:vAlign w:val="center"/>
            <w:hideMark/>
          </w:tcPr>
          <w:p w:rsidR="002F22AC" w:rsidRDefault="002F22AC" w:rsidP="004F2FB1">
            <w:pPr>
              <w:keepNext/>
              <w:keepLines/>
              <w:jc w:val="right"/>
              <w:rPr>
                <w:rFonts w:ascii="Arial Narrow" w:hAnsi="Arial Narrow" w:cs="Calibri"/>
                <w:color w:val="000000"/>
                <w:sz w:val="18"/>
                <w:szCs w:val="18"/>
              </w:rPr>
            </w:pPr>
            <w:r>
              <w:rPr>
                <w:rFonts w:ascii="Arial Narrow" w:hAnsi="Arial Narrow" w:cs="Calibri"/>
                <w:color w:val="000000"/>
                <w:sz w:val="18"/>
                <w:szCs w:val="18"/>
              </w:rPr>
              <w:t>40,1</w:t>
            </w:r>
          </w:p>
        </w:tc>
        <w:tc>
          <w:tcPr>
            <w:tcW w:w="407" w:type="pct"/>
            <w:tcBorders>
              <w:top w:val="single" w:sz="4" w:space="0" w:color="auto"/>
              <w:left w:val="nil"/>
              <w:bottom w:val="single" w:sz="4" w:space="0" w:color="auto"/>
              <w:right w:val="nil"/>
            </w:tcBorders>
            <w:shd w:val="clear" w:color="000000" w:fill="D9D9D9"/>
            <w:vAlign w:val="center"/>
            <w:hideMark/>
          </w:tcPr>
          <w:p w:rsidR="002F22AC" w:rsidRDefault="002F22AC" w:rsidP="004F2FB1">
            <w:pPr>
              <w:keepNext/>
              <w:keepLines/>
              <w:jc w:val="right"/>
              <w:rPr>
                <w:rFonts w:ascii="Arial Narrow" w:hAnsi="Arial Narrow" w:cs="Calibri"/>
                <w:color w:val="000000"/>
                <w:sz w:val="18"/>
                <w:szCs w:val="18"/>
              </w:rPr>
            </w:pPr>
            <w:r>
              <w:rPr>
                <w:rFonts w:ascii="Arial Narrow" w:hAnsi="Arial Narrow" w:cs="Calibri"/>
                <w:color w:val="000000"/>
                <w:sz w:val="18"/>
                <w:szCs w:val="18"/>
              </w:rPr>
              <w:t>49,8</w:t>
            </w:r>
          </w:p>
        </w:tc>
        <w:tc>
          <w:tcPr>
            <w:tcW w:w="421" w:type="pct"/>
            <w:tcBorders>
              <w:top w:val="single" w:sz="4" w:space="0" w:color="auto"/>
              <w:left w:val="nil"/>
              <w:bottom w:val="single" w:sz="4" w:space="0" w:color="auto"/>
              <w:right w:val="nil"/>
            </w:tcBorders>
            <w:shd w:val="clear" w:color="auto" w:fill="auto"/>
            <w:vAlign w:val="center"/>
            <w:hideMark/>
          </w:tcPr>
          <w:p w:rsidR="002F22AC" w:rsidRDefault="002F22AC" w:rsidP="004F2FB1">
            <w:pPr>
              <w:keepNext/>
              <w:keepLines/>
              <w:jc w:val="right"/>
              <w:rPr>
                <w:rFonts w:ascii="Arial Narrow" w:hAnsi="Arial Narrow" w:cs="Calibri"/>
                <w:color w:val="000000"/>
                <w:sz w:val="18"/>
                <w:szCs w:val="18"/>
              </w:rPr>
            </w:pPr>
            <w:r>
              <w:rPr>
                <w:rFonts w:ascii="Arial Narrow" w:hAnsi="Arial Narrow" w:cs="Calibri"/>
                <w:color w:val="000000"/>
                <w:sz w:val="18"/>
                <w:szCs w:val="18"/>
              </w:rPr>
              <w:t>60,3</w:t>
            </w:r>
          </w:p>
        </w:tc>
        <w:tc>
          <w:tcPr>
            <w:tcW w:w="454" w:type="pct"/>
            <w:tcBorders>
              <w:top w:val="single" w:sz="4" w:space="0" w:color="auto"/>
              <w:left w:val="nil"/>
              <w:bottom w:val="single" w:sz="4" w:space="0" w:color="auto"/>
              <w:right w:val="nil"/>
            </w:tcBorders>
            <w:shd w:val="clear" w:color="000000" w:fill="D9D9D9"/>
            <w:vAlign w:val="center"/>
            <w:hideMark/>
          </w:tcPr>
          <w:p w:rsidR="002F22AC" w:rsidRDefault="002F22AC" w:rsidP="004F2FB1">
            <w:pPr>
              <w:keepNext/>
              <w:keepLines/>
              <w:jc w:val="right"/>
              <w:rPr>
                <w:rFonts w:ascii="Arial Narrow" w:hAnsi="Arial Narrow" w:cs="Calibri"/>
                <w:color w:val="000000"/>
                <w:sz w:val="18"/>
                <w:szCs w:val="18"/>
              </w:rPr>
            </w:pPr>
            <w:r>
              <w:rPr>
                <w:rFonts w:ascii="Arial Narrow" w:hAnsi="Arial Narrow" w:cs="Calibri"/>
                <w:color w:val="000000"/>
                <w:sz w:val="18"/>
                <w:szCs w:val="18"/>
              </w:rPr>
              <w:t>40,2</w:t>
            </w:r>
          </w:p>
        </w:tc>
        <w:tc>
          <w:tcPr>
            <w:tcW w:w="382" w:type="pct"/>
            <w:tcBorders>
              <w:top w:val="single" w:sz="4" w:space="0" w:color="auto"/>
              <w:left w:val="nil"/>
              <w:bottom w:val="single" w:sz="4" w:space="0" w:color="auto"/>
              <w:right w:val="nil"/>
            </w:tcBorders>
            <w:shd w:val="clear" w:color="auto" w:fill="auto"/>
            <w:vAlign w:val="center"/>
            <w:hideMark/>
          </w:tcPr>
          <w:p w:rsidR="002F22AC" w:rsidRDefault="002F22AC" w:rsidP="004F2FB1">
            <w:pPr>
              <w:keepNext/>
              <w:keepLines/>
              <w:jc w:val="right"/>
              <w:rPr>
                <w:rFonts w:ascii="Arial Narrow" w:hAnsi="Arial Narrow" w:cs="Calibri"/>
                <w:color w:val="000000"/>
                <w:sz w:val="18"/>
                <w:szCs w:val="18"/>
              </w:rPr>
            </w:pPr>
            <w:r>
              <w:rPr>
                <w:rFonts w:ascii="Arial Narrow" w:hAnsi="Arial Narrow" w:cs="Calibri"/>
                <w:color w:val="000000"/>
                <w:sz w:val="18"/>
                <w:szCs w:val="18"/>
              </w:rPr>
              <w:t>50,0</w:t>
            </w:r>
          </w:p>
        </w:tc>
        <w:tc>
          <w:tcPr>
            <w:tcW w:w="421" w:type="pct"/>
            <w:tcBorders>
              <w:top w:val="single" w:sz="4" w:space="0" w:color="auto"/>
              <w:left w:val="nil"/>
              <w:bottom w:val="single" w:sz="4" w:space="0" w:color="auto"/>
              <w:right w:val="nil"/>
            </w:tcBorders>
            <w:shd w:val="clear" w:color="000000" w:fill="D9D9D9"/>
            <w:vAlign w:val="center"/>
            <w:hideMark/>
          </w:tcPr>
          <w:p w:rsidR="002F22AC" w:rsidRDefault="002F22AC" w:rsidP="004F2FB1">
            <w:pPr>
              <w:keepNext/>
              <w:keepLines/>
              <w:jc w:val="right"/>
              <w:rPr>
                <w:rFonts w:ascii="Arial Narrow" w:hAnsi="Arial Narrow" w:cs="Calibri"/>
                <w:color w:val="000000"/>
                <w:sz w:val="18"/>
                <w:szCs w:val="18"/>
              </w:rPr>
            </w:pPr>
            <w:r>
              <w:rPr>
                <w:rFonts w:ascii="Arial Narrow" w:hAnsi="Arial Narrow" w:cs="Calibri"/>
                <w:color w:val="000000"/>
                <w:sz w:val="18"/>
                <w:szCs w:val="18"/>
              </w:rPr>
              <w:t>58,6</w:t>
            </w:r>
          </w:p>
        </w:tc>
        <w:tc>
          <w:tcPr>
            <w:tcW w:w="454" w:type="pct"/>
            <w:tcBorders>
              <w:top w:val="single" w:sz="4" w:space="0" w:color="auto"/>
              <w:left w:val="nil"/>
              <w:bottom w:val="single" w:sz="4" w:space="0" w:color="auto"/>
              <w:right w:val="nil"/>
            </w:tcBorders>
            <w:shd w:val="clear" w:color="auto" w:fill="auto"/>
            <w:noWrap/>
            <w:vAlign w:val="center"/>
            <w:hideMark/>
          </w:tcPr>
          <w:p w:rsidR="002F22AC" w:rsidRDefault="002F22AC" w:rsidP="004F2FB1">
            <w:pPr>
              <w:keepNext/>
              <w:keepLines/>
              <w:jc w:val="right"/>
              <w:rPr>
                <w:rFonts w:ascii="Arial Narrow" w:hAnsi="Arial Narrow" w:cs="Calibri"/>
                <w:color w:val="000000"/>
                <w:sz w:val="18"/>
                <w:szCs w:val="18"/>
              </w:rPr>
            </w:pPr>
            <w:r>
              <w:rPr>
                <w:rFonts w:ascii="Arial Narrow" w:hAnsi="Arial Narrow" w:cs="Calibri"/>
                <w:color w:val="000000"/>
                <w:sz w:val="18"/>
                <w:szCs w:val="18"/>
              </w:rPr>
              <w:t>37,1</w:t>
            </w:r>
          </w:p>
        </w:tc>
        <w:tc>
          <w:tcPr>
            <w:tcW w:w="421" w:type="pct"/>
            <w:tcBorders>
              <w:top w:val="single" w:sz="4" w:space="0" w:color="auto"/>
              <w:left w:val="nil"/>
              <w:bottom w:val="single" w:sz="4" w:space="0" w:color="auto"/>
              <w:right w:val="nil"/>
            </w:tcBorders>
            <w:shd w:val="clear" w:color="000000" w:fill="D9D9D9"/>
            <w:noWrap/>
            <w:vAlign w:val="center"/>
            <w:hideMark/>
          </w:tcPr>
          <w:p w:rsidR="002F22AC" w:rsidRDefault="002F22AC" w:rsidP="004F2FB1">
            <w:pPr>
              <w:keepNext/>
              <w:keepLines/>
              <w:jc w:val="right"/>
              <w:rPr>
                <w:rFonts w:ascii="Arial Narrow" w:hAnsi="Arial Narrow" w:cs="Calibri"/>
                <w:color w:val="000000"/>
                <w:sz w:val="18"/>
                <w:szCs w:val="18"/>
              </w:rPr>
            </w:pPr>
            <w:r>
              <w:rPr>
                <w:rFonts w:ascii="Arial Narrow" w:hAnsi="Arial Narrow" w:cs="Calibri"/>
                <w:color w:val="000000"/>
                <w:sz w:val="18"/>
                <w:szCs w:val="18"/>
              </w:rPr>
              <w:t>47,6</w:t>
            </w:r>
          </w:p>
        </w:tc>
      </w:tr>
      <w:tr w:rsidR="002F22AC" w:rsidTr="004F2FB1">
        <w:trPr>
          <w:trHeight w:val="255"/>
        </w:trPr>
        <w:tc>
          <w:tcPr>
            <w:tcW w:w="1214" w:type="pct"/>
            <w:tcBorders>
              <w:top w:val="single" w:sz="4" w:space="0" w:color="auto"/>
              <w:left w:val="nil"/>
              <w:bottom w:val="single" w:sz="4" w:space="0" w:color="auto"/>
              <w:right w:val="nil"/>
            </w:tcBorders>
            <w:shd w:val="clear" w:color="auto" w:fill="auto"/>
            <w:noWrap/>
            <w:vAlign w:val="center"/>
            <w:hideMark/>
          </w:tcPr>
          <w:p w:rsidR="002F22AC" w:rsidRDefault="002F22AC" w:rsidP="004F2FB1">
            <w:pPr>
              <w:keepNext/>
              <w:keepLines/>
              <w:ind w:firstLineChars="100" w:firstLine="180"/>
              <w:rPr>
                <w:rFonts w:ascii="Arial Narrow" w:hAnsi="Arial Narrow" w:cs="Calibri"/>
                <w:color w:val="000000"/>
                <w:sz w:val="18"/>
                <w:szCs w:val="18"/>
              </w:rPr>
            </w:pPr>
            <w:r>
              <w:rPr>
                <w:rFonts w:ascii="Arial Narrow" w:hAnsi="Arial Narrow" w:cs="Calibri"/>
                <w:color w:val="000000"/>
                <w:sz w:val="18"/>
                <w:szCs w:val="18"/>
              </w:rPr>
              <w:t>Tasso di occupazione</w:t>
            </w:r>
          </w:p>
        </w:tc>
        <w:tc>
          <w:tcPr>
            <w:tcW w:w="365" w:type="pct"/>
            <w:tcBorders>
              <w:top w:val="single" w:sz="4" w:space="0" w:color="auto"/>
              <w:left w:val="nil"/>
              <w:bottom w:val="single" w:sz="4" w:space="0" w:color="auto"/>
              <w:right w:val="nil"/>
            </w:tcBorders>
            <w:shd w:val="clear" w:color="000000" w:fill="D9D9D9"/>
            <w:noWrap/>
            <w:vAlign w:val="center"/>
            <w:hideMark/>
          </w:tcPr>
          <w:p w:rsidR="002F22AC" w:rsidRDefault="002F22AC" w:rsidP="004F2FB1">
            <w:pPr>
              <w:keepNext/>
              <w:keepLines/>
              <w:jc w:val="right"/>
              <w:rPr>
                <w:rFonts w:ascii="Arial Narrow" w:hAnsi="Arial Narrow" w:cs="Calibri"/>
                <w:color w:val="000000"/>
                <w:sz w:val="18"/>
                <w:szCs w:val="18"/>
              </w:rPr>
            </w:pPr>
            <w:r>
              <w:rPr>
                <w:rFonts w:ascii="Arial Narrow" w:hAnsi="Arial Narrow" w:cs="Calibri"/>
                <w:color w:val="000000"/>
                <w:sz w:val="18"/>
                <w:szCs w:val="18"/>
              </w:rPr>
              <w:t>51,4</w:t>
            </w:r>
          </w:p>
        </w:tc>
        <w:tc>
          <w:tcPr>
            <w:tcW w:w="460" w:type="pct"/>
            <w:tcBorders>
              <w:top w:val="single" w:sz="4" w:space="0" w:color="auto"/>
              <w:left w:val="nil"/>
              <w:bottom w:val="single" w:sz="4" w:space="0" w:color="auto"/>
              <w:right w:val="nil"/>
            </w:tcBorders>
            <w:shd w:val="clear" w:color="auto" w:fill="auto"/>
            <w:vAlign w:val="center"/>
            <w:hideMark/>
          </w:tcPr>
          <w:p w:rsidR="002F22AC" w:rsidRDefault="002F22AC" w:rsidP="004F2FB1">
            <w:pPr>
              <w:keepNext/>
              <w:keepLines/>
              <w:jc w:val="right"/>
              <w:rPr>
                <w:rFonts w:ascii="Arial Narrow" w:hAnsi="Arial Narrow" w:cs="Calibri"/>
                <w:color w:val="000000"/>
                <w:sz w:val="18"/>
                <w:szCs w:val="18"/>
              </w:rPr>
            </w:pPr>
            <w:r>
              <w:rPr>
                <w:rFonts w:ascii="Arial Narrow" w:hAnsi="Arial Narrow" w:cs="Calibri"/>
                <w:color w:val="000000"/>
                <w:sz w:val="18"/>
                <w:szCs w:val="18"/>
              </w:rPr>
              <w:t>31,9</w:t>
            </w:r>
          </w:p>
        </w:tc>
        <w:tc>
          <w:tcPr>
            <w:tcW w:w="407" w:type="pct"/>
            <w:tcBorders>
              <w:top w:val="single" w:sz="4" w:space="0" w:color="auto"/>
              <w:left w:val="nil"/>
              <w:bottom w:val="single" w:sz="4" w:space="0" w:color="auto"/>
              <w:right w:val="nil"/>
            </w:tcBorders>
            <w:shd w:val="clear" w:color="000000" w:fill="D9D9D9"/>
            <w:vAlign w:val="center"/>
            <w:hideMark/>
          </w:tcPr>
          <w:p w:rsidR="002F22AC" w:rsidRDefault="002F22AC" w:rsidP="004F2FB1">
            <w:pPr>
              <w:keepNext/>
              <w:keepLines/>
              <w:jc w:val="right"/>
              <w:rPr>
                <w:rFonts w:ascii="Arial Narrow" w:hAnsi="Arial Narrow" w:cs="Calibri"/>
                <w:color w:val="000000"/>
                <w:sz w:val="18"/>
                <w:szCs w:val="18"/>
              </w:rPr>
            </w:pPr>
            <w:r>
              <w:rPr>
                <w:rFonts w:ascii="Arial Narrow" w:hAnsi="Arial Narrow" w:cs="Calibri"/>
                <w:color w:val="000000"/>
                <w:sz w:val="18"/>
                <w:szCs w:val="18"/>
              </w:rPr>
              <w:t>41,4</w:t>
            </w:r>
          </w:p>
        </w:tc>
        <w:tc>
          <w:tcPr>
            <w:tcW w:w="421" w:type="pct"/>
            <w:tcBorders>
              <w:top w:val="single" w:sz="4" w:space="0" w:color="auto"/>
              <w:left w:val="nil"/>
              <w:bottom w:val="single" w:sz="4" w:space="0" w:color="auto"/>
              <w:right w:val="nil"/>
            </w:tcBorders>
            <w:shd w:val="clear" w:color="auto" w:fill="auto"/>
            <w:vAlign w:val="center"/>
            <w:hideMark/>
          </w:tcPr>
          <w:p w:rsidR="002F22AC" w:rsidRDefault="002F22AC" w:rsidP="004F2FB1">
            <w:pPr>
              <w:keepNext/>
              <w:keepLines/>
              <w:jc w:val="right"/>
              <w:rPr>
                <w:rFonts w:ascii="Arial Narrow" w:hAnsi="Arial Narrow" w:cs="Calibri"/>
                <w:color w:val="000000"/>
                <w:sz w:val="18"/>
                <w:szCs w:val="18"/>
              </w:rPr>
            </w:pPr>
            <w:r>
              <w:rPr>
                <w:rFonts w:ascii="Arial Narrow" w:hAnsi="Arial Narrow" w:cs="Calibri"/>
                <w:color w:val="000000"/>
                <w:sz w:val="18"/>
                <w:szCs w:val="18"/>
              </w:rPr>
              <w:t>49,8</w:t>
            </w:r>
          </w:p>
        </w:tc>
        <w:tc>
          <w:tcPr>
            <w:tcW w:w="454" w:type="pct"/>
            <w:tcBorders>
              <w:top w:val="single" w:sz="4" w:space="0" w:color="auto"/>
              <w:left w:val="nil"/>
              <w:bottom w:val="single" w:sz="4" w:space="0" w:color="auto"/>
              <w:right w:val="nil"/>
            </w:tcBorders>
            <w:shd w:val="clear" w:color="000000" w:fill="D9D9D9"/>
            <w:vAlign w:val="center"/>
            <w:hideMark/>
          </w:tcPr>
          <w:p w:rsidR="002F22AC" w:rsidRDefault="002F22AC" w:rsidP="004F2FB1">
            <w:pPr>
              <w:keepNext/>
              <w:keepLines/>
              <w:jc w:val="right"/>
              <w:rPr>
                <w:rFonts w:ascii="Arial Narrow" w:hAnsi="Arial Narrow" w:cs="Calibri"/>
                <w:color w:val="000000"/>
                <w:sz w:val="18"/>
                <w:szCs w:val="18"/>
              </w:rPr>
            </w:pPr>
            <w:r>
              <w:rPr>
                <w:rFonts w:ascii="Arial Narrow" w:hAnsi="Arial Narrow" w:cs="Calibri"/>
                <w:color w:val="000000"/>
                <w:sz w:val="18"/>
                <w:szCs w:val="18"/>
              </w:rPr>
              <w:t>30,7</w:t>
            </w:r>
          </w:p>
        </w:tc>
        <w:tc>
          <w:tcPr>
            <w:tcW w:w="382" w:type="pct"/>
            <w:tcBorders>
              <w:top w:val="single" w:sz="4" w:space="0" w:color="auto"/>
              <w:left w:val="nil"/>
              <w:bottom w:val="single" w:sz="4" w:space="0" w:color="auto"/>
              <w:right w:val="nil"/>
            </w:tcBorders>
            <w:shd w:val="clear" w:color="auto" w:fill="auto"/>
            <w:vAlign w:val="center"/>
            <w:hideMark/>
          </w:tcPr>
          <w:p w:rsidR="002F22AC" w:rsidRDefault="002F22AC" w:rsidP="004F2FB1">
            <w:pPr>
              <w:keepNext/>
              <w:keepLines/>
              <w:jc w:val="right"/>
              <w:rPr>
                <w:rFonts w:ascii="Arial Narrow" w:hAnsi="Arial Narrow" w:cs="Calibri"/>
                <w:color w:val="000000"/>
                <w:sz w:val="18"/>
                <w:szCs w:val="18"/>
              </w:rPr>
            </w:pPr>
            <w:r>
              <w:rPr>
                <w:rFonts w:ascii="Arial Narrow" w:hAnsi="Arial Narrow" w:cs="Calibri"/>
                <w:color w:val="000000"/>
                <w:sz w:val="18"/>
                <w:szCs w:val="18"/>
              </w:rPr>
              <w:t>40,0</w:t>
            </w:r>
          </w:p>
        </w:tc>
        <w:tc>
          <w:tcPr>
            <w:tcW w:w="421" w:type="pct"/>
            <w:tcBorders>
              <w:top w:val="single" w:sz="4" w:space="0" w:color="auto"/>
              <w:left w:val="nil"/>
              <w:bottom w:val="single" w:sz="4" w:space="0" w:color="auto"/>
              <w:right w:val="nil"/>
            </w:tcBorders>
            <w:shd w:val="clear" w:color="000000" w:fill="D9D9D9"/>
            <w:vAlign w:val="center"/>
            <w:hideMark/>
          </w:tcPr>
          <w:p w:rsidR="002F22AC" w:rsidRDefault="002F22AC" w:rsidP="004F2FB1">
            <w:pPr>
              <w:keepNext/>
              <w:keepLines/>
              <w:jc w:val="right"/>
              <w:rPr>
                <w:rFonts w:ascii="Arial Narrow" w:hAnsi="Arial Narrow" w:cs="Calibri"/>
                <w:color w:val="000000"/>
                <w:sz w:val="18"/>
                <w:szCs w:val="18"/>
              </w:rPr>
            </w:pPr>
            <w:r>
              <w:rPr>
                <w:rFonts w:ascii="Arial Narrow" w:hAnsi="Arial Narrow" w:cs="Calibri"/>
                <w:color w:val="000000"/>
                <w:sz w:val="18"/>
                <w:szCs w:val="18"/>
              </w:rPr>
              <w:t>50,4</w:t>
            </w:r>
          </w:p>
        </w:tc>
        <w:tc>
          <w:tcPr>
            <w:tcW w:w="454" w:type="pct"/>
            <w:tcBorders>
              <w:top w:val="single" w:sz="4" w:space="0" w:color="auto"/>
              <w:left w:val="nil"/>
              <w:bottom w:val="single" w:sz="4" w:space="0" w:color="auto"/>
              <w:right w:val="nil"/>
            </w:tcBorders>
            <w:shd w:val="clear" w:color="auto" w:fill="auto"/>
            <w:noWrap/>
            <w:vAlign w:val="center"/>
            <w:hideMark/>
          </w:tcPr>
          <w:p w:rsidR="002F22AC" w:rsidRDefault="002F22AC" w:rsidP="004F2FB1">
            <w:pPr>
              <w:keepNext/>
              <w:keepLines/>
              <w:jc w:val="right"/>
              <w:rPr>
                <w:rFonts w:ascii="Arial Narrow" w:hAnsi="Arial Narrow" w:cs="Calibri"/>
                <w:color w:val="000000"/>
                <w:sz w:val="18"/>
                <w:szCs w:val="18"/>
              </w:rPr>
            </w:pPr>
            <w:r>
              <w:rPr>
                <w:rFonts w:ascii="Arial Narrow" w:hAnsi="Arial Narrow" w:cs="Calibri"/>
                <w:color w:val="000000"/>
                <w:sz w:val="18"/>
                <w:szCs w:val="18"/>
              </w:rPr>
              <w:t>29,2</w:t>
            </w:r>
          </w:p>
        </w:tc>
        <w:tc>
          <w:tcPr>
            <w:tcW w:w="421" w:type="pct"/>
            <w:tcBorders>
              <w:top w:val="single" w:sz="4" w:space="0" w:color="auto"/>
              <w:left w:val="nil"/>
              <w:bottom w:val="single" w:sz="4" w:space="0" w:color="auto"/>
              <w:right w:val="nil"/>
            </w:tcBorders>
            <w:shd w:val="clear" w:color="000000" w:fill="D9D9D9"/>
            <w:noWrap/>
            <w:vAlign w:val="center"/>
            <w:hideMark/>
          </w:tcPr>
          <w:p w:rsidR="002F22AC" w:rsidRDefault="002F22AC" w:rsidP="004F2FB1">
            <w:pPr>
              <w:keepNext/>
              <w:keepLines/>
              <w:jc w:val="right"/>
              <w:rPr>
                <w:rFonts w:ascii="Arial Narrow" w:hAnsi="Arial Narrow" w:cs="Calibri"/>
                <w:color w:val="000000"/>
                <w:sz w:val="18"/>
                <w:szCs w:val="18"/>
              </w:rPr>
            </w:pPr>
            <w:r>
              <w:rPr>
                <w:rFonts w:ascii="Arial Narrow" w:hAnsi="Arial Narrow" w:cs="Calibri"/>
                <w:color w:val="000000"/>
                <w:sz w:val="18"/>
                <w:szCs w:val="18"/>
              </w:rPr>
              <w:t>39,4</w:t>
            </w:r>
          </w:p>
        </w:tc>
      </w:tr>
      <w:tr w:rsidR="002F22AC" w:rsidTr="004F2FB1">
        <w:trPr>
          <w:trHeight w:val="255"/>
        </w:trPr>
        <w:tc>
          <w:tcPr>
            <w:tcW w:w="1214" w:type="pct"/>
            <w:tcBorders>
              <w:top w:val="single" w:sz="4" w:space="0" w:color="auto"/>
              <w:left w:val="nil"/>
              <w:bottom w:val="single" w:sz="4" w:space="0" w:color="auto"/>
              <w:right w:val="nil"/>
            </w:tcBorders>
            <w:shd w:val="clear" w:color="auto" w:fill="auto"/>
            <w:noWrap/>
            <w:vAlign w:val="center"/>
            <w:hideMark/>
          </w:tcPr>
          <w:p w:rsidR="002F22AC" w:rsidRDefault="002F22AC" w:rsidP="004F2FB1">
            <w:pPr>
              <w:keepNext/>
              <w:keepLines/>
              <w:ind w:firstLineChars="100" w:firstLine="180"/>
              <w:rPr>
                <w:rFonts w:ascii="Arial Narrow" w:hAnsi="Arial Narrow" w:cs="Calibri"/>
                <w:color w:val="000000"/>
                <w:sz w:val="18"/>
                <w:szCs w:val="18"/>
              </w:rPr>
            </w:pPr>
            <w:r>
              <w:rPr>
                <w:rFonts w:ascii="Arial Narrow" w:hAnsi="Arial Narrow" w:cs="Calibri"/>
                <w:color w:val="000000"/>
                <w:sz w:val="18"/>
                <w:szCs w:val="18"/>
              </w:rPr>
              <w:t>Tasso di disoccupazione</w:t>
            </w:r>
          </w:p>
        </w:tc>
        <w:tc>
          <w:tcPr>
            <w:tcW w:w="365" w:type="pct"/>
            <w:tcBorders>
              <w:top w:val="single" w:sz="4" w:space="0" w:color="auto"/>
              <w:left w:val="nil"/>
              <w:bottom w:val="single" w:sz="4" w:space="0" w:color="auto"/>
              <w:right w:val="nil"/>
            </w:tcBorders>
            <w:shd w:val="clear" w:color="000000" w:fill="D9D9D9"/>
            <w:noWrap/>
            <w:vAlign w:val="center"/>
            <w:hideMark/>
          </w:tcPr>
          <w:p w:rsidR="002F22AC" w:rsidRDefault="002F22AC" w:rsidP="004F2FB1">
            <w:pPr>
              <w:keepNext/>
              <w:keepLines/>
              <w:jc w:val="right"/>
              <w:rPr>
                <w:rFonts w:ascii="Arial Narrow" w:hAnsi="Arial Narrow" w:cs="Calibri"/>
                <w:color w:val="000000"/>
                <w:sz w:val="18"/>
                <w:szCs w:val="18"/>
              </w:rPr>
            </w:pPr>
            <w:r>
              <w:rPr>
                <w:rFonts w:ascii="Arial Narrow" w:hAnsi="Arial Narrow" w:cs="Calibri"/>
                <w:color w:val="000000"/>
                <w:sz w:val="18"/>
                <w:szCs w:val="18"/>
              </w:rPr>
              <w:t>14,3</w:t>
            </w:r>
          </w:p>
        </w:tc>
        <w:tc>
          <w:tcPr>
            <w:tcW w:w="460" w:type="pct"/>
            <w:tcBorders>
              <w:top w:val="single" w:sz="4" w:space="0" w:color="auto"/>
              <w:left w:val="nil"/>
              <w:bottom w:val="single" w:sz="4" w:space="0" w:color="auto"/>
              <w:right w:val="nil"/>
            </w:tcBorders>
            <w:shd w:val="clear" w:color="auto" w:fill="auto"/>
            <w:vAlign w:val="center"/>
            <w:hideMark/>
          </w:tcPr>
          <w:p w:rsidR="002F22AC" w:rsidRDefault="002F22AC" w:rsidP="004F2FB1">
            <w:pPr>
              <w:keepNext/>
              <w:keepLines/>
              <w:jc w:val="right"/>
              <w:rPr>
                <w:rFonts w:ascii="Arial Narrow" w:hAnsi="Arial Narrow" w:cs="Calibri"/>
                <w:color w:val="000000"/>
                <w:sz w:val="18"/>
                <w:szCs w:val="18"/>
              </w:rPr>
            </w:pPr>
            <w:r>
              <w:rPr>
                <w:rFonts w:ascii="Arial Narrow" w:hAnsi="Arial Narrow" w:cs="Calibri"/>
                <w:color w:val="000000"/>
                <w:sz w:val="18"/>
                <w:szCs w:val="18"/>
              </w:rPr>
              <w:t>20,5</w:t>
            </w:r>
          </w:p>
        </w:tc>
        <w:tc>
          <w:tcPr>
            <w:tcW w:w="407" w:type="pct"/>
            <w:tcBorders>
              <w:top w:val="single" w:sz="4" w:space="0" w:color="auto"/>
              <w:left w:val="nil"/>
              <w:bottom w:val="single" w:sz="4" w:space="0" w:color="auto"/>
              <w:right w:val="nil"/>
            </w:tcBorders>
            <w:shd w:val="clear" w:color="000000" w:fill="D9D9D9"/>
            <w:vAlign w:val="center"/>
            <w:hideMark/>
          </w:tcPr>
          <w:p w:rsidR="002F22AC" w:rsidRDefault="002F22AC" w:rsidP="004F2FB1">
            <w:pPr>
              <w:keepNext/>
              <w:keepLines/>
              <w:jc w:val="right"/>
              <w:rPr>
                <w:rFonts w:ascii="Arial Narrow" w:hAnsi="Arial Narrow" w:cs="Calibri"/>
                <w:color w:val="000000"/>
                <w:sz w:val="18"/>
                <w:szCs w:val="18"/>
              </w:rPr>
            </w:pPr>
            <w:r>
              <w:rPr>
                <w:rFonts w:ascii="Arial Narrow" w:hAnsi="Arial Narrow" w:cs="Calibri"/>
                <w:color w:val="000000"/>
                <w:sz w:val="18"/>
                <w:szCs w:val="18"/>
              </w:rPr>
              <w:t>16,9</w:t>
            </w:r>
          </w:p>
        </w:tc>
        <w:tc>
          <w:tcPr>
            <w:tcW w:w="421" w:type="pct"/>
            <w:tcBorders>
              <w:top w:val="single" w:sz="4" w:space="0" w:color="auto"/>
              <w:left w:val="nil"/>
              <w:bottom w:val="single" w:sz="4" w:space="0" w:color="auto"/>
              <w:right w:val="nil"/>
            </w:tcBorders>
            <w:shd w:val="clear" w:color="auto" w:fill="auto"/>
            <w:vAlign w:val="center"/>
            <w:hideMark/>
          </w:tcPr>
          <w:p w:rsidR="002F22AC" w:rsidRDefault="002F22AC" w:rsidP="004F2FB1">
            <w:pPr>
              <w:keepNext/>
              <w:keepLines/>
              <w:jc w:val="right"/>
              <w:rPr>
                <w:rFonts w:ascii="Arial Narrow" w:hAnsi="Arial Narrow" w:cs="Calibri"/>
                <w:color w:val="000000"/>
                <w:sz w:val="18"/>
                <w:szCs w:val="18"/>
              </w:rPr>
            </w:pPr>
            <w:r>
              <w:rPr>
                <w:rFonts w:ascii="Arial Narrow" w:hAnsi="Arial Narrow" w:cs="Calibri"/>
                <w:color w:val="000000"/>
                <w:sz w:val="18"/>
                <w:szCs w:val="18"/>
              </w:rPr>
              <w:t>17,5</w:t>
            </w:r>
          </w:p>
        </w:tc>
        <w:tc>
          <w:tcPr>
            <w:tcW w:w="454" w:type="pct"/>
            <w:tcBorders>
              <w:top w:val="single" w:sz="4" w:space="0" w:color="auto"/>
              <w:left w:val="nil"/>
              <w:bottom w:val="single" w:sz="4" w:space="0" w:color="auto"/>
              <w:right w:val="nil"/>
            </w:tcBorders>
            <w:shd w:val="clear" w:color="000000" w:fill="D9D9D9"/>
            <w:vAlign w:val="center"/>
            <w:hideMark/>
          </w:tcPr>
          <w:p w:rsidR="002F22AC" w:rsidRDefault="002F22AC" w:rsidP="004F2FB1">
            <w:pPr>
              <w:keepNext/>
              <w:keepLines/>
              <w:jc w:val="right"/>
              <w:rPr>
                <w:rFonts w:ascii="Arial Narrow" w:hAnsi="Arial Narrow" w:cs="Calibri"/>
                <w:color w:val="000000"/>
                <w:sz w:val="18"/>
                <w:szCs w:val="18"/>
              </w:rPr>
            </w:pPr>
            <w:r>
              <w:rPr>
                <w:rFonts w:ascii="Arial Narrow" w:hAnsi="Arial Narrow" w:cs="Calibri"/>
                <w:color w:val="000000"/>
                <w:sz w:val="18"/>
                <w:szCs w:val="18"/>
              </w:rPr>
              <w:t>23,5</w:t>
            </w:r>
          </w:p>
        </w:tc>
        <w:tc>
          <w:tcPr>
            <w:tcW w:w="382" w:type="pct"/>
            <w:tcBorders>
              <w:top w:val="single" w:sz="4" w:space="0" w:color="auto"/>
              <w:left w:val="nil"/>
              <w:bottom w:val="single" w:sz="4" w:space="0" w:color="auto"/>
              <w:right w:val="nil"/>
            </w:tcBorders>
            <w:shd w:val="clear" w:color="auto" w:fill="auto"/>
            <w:vAlign w:val="center"/>
            <w:hideMark/>
          </w:tcPr>
          <w:p w:rsidR="002F22AC" w:rsidRDefault="002F22AC" w:rsidP="004F2FB1">
            <w:pPr>
              <w:keepNext/>
              <w:keepLines/>
              <w:jc w:val="right"/>
              <w:rPr>
                <w:rFonts w:ascii="Arial Narrow" w:hAnsi="Arial Narrow" w:cs="Calibri"/>
                <w:color w:val="000000"/>
                <w:sz w:val="18"/>
                <w:szCs w:val="18"/>
              </w:rPr>
            </w:pPr>
            <w:r>
              <w:rPr>
                <w:rFonts w:ascii="Arial Narrow" w:hAnsi="Arial Narrow" w:cs="Calibri"/>
                <w:color w:val="000000"/>
                <w:sz w:val="18"/>
                <w:szCs w:val="18"/>
              </w:rPr>
              <w:t>20,0</w:t>
            </w:r>
          </w:p>
        </w:tc>
        <w:tc>
          <w:tcPr>
            <w:tcW w:w="421" w:type="pct"/>
            <w:tcBorders>
              <w:top w:val="single" w:sz="4" w:space="0" w:color="auto"/>
              <w:left w:val="nil"/>
              <w:bottom w:val="single" w:sz="4" w:space="0" w:color="auto"/>
              <w:right w:val="nil"/>
            </w:tcBorders>
            <w:shd w:val="clear" w:color="000000" w:fill="D9D9D9"/>
            <w:vAlign w:val="center"/>
            <w:hideMark/>
          </w:tcPr>
          <w:p w:rsidR="002F22AC" w:rsidRDefault="002F22AC" w:rsidP="004F2FB1">
            <w:pPr>
              <w:keepNext/>
              <w:keepLines/>
              <w:jc w:val="right"/>
              <w:rPr>
                <w:rFonts w:ascii="Arial Narrow" w:hAnsi="Arial Narrow" w:cs="Calibri"/>
                <w:color w:val="000000"/>
                <w:sz w:val="18"/>
                <w:szCs w:val="18"/>
              </w:rPr>
            </w:pPr>
            <w:r>
              <w:rPr>
                <w:rFonts w:ascii="Arial Narrow" w:hAnsi="Arial Narrow" w:cs="Calibri"/>
                <w:color w:val="000000"/>
                <w:sz w:val="18"/>
                <w:szCs w:val="18"/>
              </w:rPr>
              <w:t>14,1</w:t>
            </w:r>
          </w:p>
        </w:tc>
        <w:tc>
          <w:tcPr>
            <w:tcW w:w="454" w:type="pct"/>
            <w:tcBorders>
              <w:top w:val="single" w:sz="4" w:space="0" w:color="auto"/>
              <w:left w:val="nil"/>
              <w:bottom w:val="single" w:sz="4" w:space="0" w:color="auto"/>
              <w:right w:val="nil"/>
            </w:tcBorders>
            <w:shd w:val="clear" w:color="auto" w:fill="auto"/>
            <w:noWrap/>
            <w:vAlign w:val="center"/>
            <w:hideMark/>
          </w:tcPr>
          <w:p w:rsidR="002F22AC" w:rsidRDefault="002F22AC" w:rsidP="004F2FB1">
            <w:pPr>
              <w:keepNext/>
              <w:keepLines/>
              <w:jc w:val="right"/>
              <w:rPr>
                <w:rFonts w:ascii="Arial Narrow" w:hAnsi="Arial Narrow" w:cs="Calibri"/>
                <w:color w:val="000000"/>
                <w:sz w:val="18"/>
                <w:szCs w:val="18"/>
              </w:rPr>
            </w:pPr>
            <w:r>
              <w:rPr>
                <w:rFonts w:ascii="Arial Narrow" w:hAnsi="Arial Narrow" w:cs="Calibri"/>
                <w:color w:val="000000"/>
                <w:sz w:val="18"/>
                <w:szCs w:val="18"/>
              </w:rPr>
              <w:t>21,5</w:t>
            </w:r>
          </w:p>
        </w:tc>
        <w:tc>
          <w:tcPr>
            <w:tcW w:w="421" w:type="pct"/>
            <w:tcBorders>
              <w:top w:val="single" w:sz="4" w:space="0" w:color="auto"/>
              <w:left w:val="nil"/>
              <w:bottom w:val="single" w:sz="4" w:space="0" w:color="auto"/>
              <w:right w:val="nil"/>
            </w:tcBorders>
            <w:shd w:val="clear" w:color="000000" w:fill="D9D9D9"/>
            <w:noWrap/>
            <w:vAlign w:val="center"/>
            <w:hideMark/>
          </w:tcPr>
          <w:p w:rsidR="002F22AC" w:rsidRDefault="002F22AC" w:rsidP="004F2FB1">
            <w:pPr>
              <w:keepNext/>
              <w:keepLines/>
              <w:jc w:val="right"/>
              <w:rPr>
                <w:rFonts w:ascii="Arial Narrow" w:hAnsi="Arial Narrow" w:cs="Calibri"/>
                <w:color w:val="000000"/>
                <w:sz w:val="18"/>
                <w:szCs w:val="18"/>
              </w:rPr>
            </w:pPr>
            <w:r>
              <w:rPr>
                <w:rFonts w:ascii="Arial Narrow" w:hAnsi="Arial Narrow" w:cs="Calibri"/>
                <w:color w:val="000000"/>
                <w:sz w:val="18"/>
                <w:szCs w:val="18"/>
              </w:rPr>
              <w:t>17,0</w:t>
            </w:r>
          </w:p>
        </w:tc>
      </w:tr>
      <w:tr w:rsidR="002F22AC" w:rsidTr="004F2FB1">
        <w:trPr>
          <w:trHeight w:val="255"/>
        </w:trPr>
        <w:tc>
          <w:tcPr>
            <w:tcW w:w="1214" w:type="pct"/>
            <w:tcBorders>
              <w:top w:val="single" w:sz="4" w:space="0" w:color="auto"/>
              <w:left w:val="nil"/>
              <w:bottom w:val="single" w:sz="4" w:space="0" w:color="auto"/>
              <w:right w:val="nil"/>
            </w:tcBorders>
            <w:shd w:val="clear" w:color="auto" w:fill="C9321F"/>
            <w:noWrap/>
            <w:vAlign w:val="center"/>
            <w:hideMark/>
          </w:tcPr>
          <w:p w:rsidR="002F22AC" w:rsidRPr="004F2FB1" w:rsidRDefault="002F22AC">
            <w:pPr>
              <w:rPr>
                <w:rFonts w:ascii="Arial Narrow" w:hAnsi="Arial Narrow" w:cs="Calibri"/>
                <w:b/>
                <w:bCs/>
                <w:caps/>
                <w:color w:val="FFFFFF"/>
                <w:sz w:val="18"/>
                <w:szCs w:val="18"/>
              </w:rPr>
            </w:pPr>
            <w:r w:rsidRPr="004F2FB1">
              <w:rPr>
                <w:rFonts w:ascii="Arial Narrow" w:hAnsi="Arial Narrow" w:cs="Calibri"/>
                <w:b/>
                <w:bCs/>
                <w:caps/>
                <w:color w:val="FFFFFF"/>
                <w:sz w:val="18"/>
                <w:szCs w:val="18"/>
              </w:rPr>
              <w:t>Italia</w:t>
            </w:r>
          </w:p>
        </w:tc>
        <w:tc>
          <w:tcPr>
            <w:tcW w:w="365" w:type="pct"/>
            <w:tcBorders>
              <w:top w:val="single" w:sz="4" w:space="0" w:color="auto"/>
              <w:left w:val="nil"/>
              <w:bottom w:val="single" w:sz="4" w:space="0" w:color="auto"/>
              <w:right w:val="nil"/>
            </w:tcBorders>
            <w:shd w:val="clear" w:color="auto" w:fill="C9321F"/>
            <w:noWrap/>
            <w:vAlign w:val="center"/>
            <w:hideMark/>
          </w:tcPr>
          <w:p w:rsidR="002F22AC" w:rsidRPr="004F2FB1" w:rsidRDefault="002F22AC">
            <w:pPr>
              <w:jc w:val="right"/>
              <w:rPr>
                <w:rFonts w:ascii="Arial Narrow" w:hAnsi="Arial Narrow" w:cs="Calibri"/>
                <w:b/>
                <w:bCs/>
                <w:caps/>
                <w:color w:val="FFFFFF"/>
                <w:sz w:val="18"/>
                <w:szCs w:val="18"/>
              </w:rPr>
            </w:pPr>
            <w:r w:rsidRPr="004F2FB1">
              <w:rPr>
                <w:rFonts w:ascii="Arial Narrow" w:hAnsi="Arial Narrow" w:cs="Calibri"/>
                <w:b/>
                <w:bCs/>
                <w:caps/>
                <w:color w:val="FFFFFF"/>
                <w:sz w:val="18"/>
                <w:szCs w:val="18"/>
              </w:rPr>
              <w:t> </w:t>
            </w:r>
          </w:p>
        </w:tc>
        <w:tc>
          <w:tcPr>
            <w:tcW w:w="460" w:type="pct"/>
            <w:tcBorders>
              <w:top w:val="single" w:sz="4" w:space="0" w:color="auto"/>
              <w:left w:val="nil"/>
              <w:bottom w:val="single" w:sz="4" w:space="0" w:color="auto"/>
              <w:right w:val="nil"/>
            </w:tcBorders>
            <w:shd w:val="clear" w:color="auto" w:fill="C9321F"/>
            <w:vAlign w:val="center"/>
            <w:hideMark/>
          </w:tcPr>
          <w:p w:rsidR="002F22AC" w:rsidRPr="004F2FB1" w:rsidRDefault="002F22AC">
            <w:pPr>
              <w:jc w:val="right"/>
              <w:rPr>
                <w:rFonts w:ascii="Arial Narrow" w:hAnsi="Arial Narrow" w:cs="Calibri"/>
                <w:b/>
                <w:bCs/>
                <w:caps/>
                <w:color w:val="FFFFFF"/>
                <w:sz w:val="18"/>
                <w:szCs w:val="18"/>
              </w:rPr>
            </w:pPr>
            <w:r w:rsidRPr="004F2FB1">
              <w:rPr>
                <w:rFonts w:ascii="Arial Narrow" w:hAnsi="Arial Narrow" w:cs="Calibri"/>
                <w:b/>
                <w:bCs/>
                <w:caps/>
                <w:color w:val="FFFFFF"/>
                <w:sz w:val="18"/>
                <w:szCs w:val="18"/>
              </w:rPr>
              <w:t> </w:t>
            </w:r>
          </w:p>
        </w:tc>
        <w:tc>
          <w:tcPr>
            <w:tcW w:w="407" w:type="pct"/>
            <w:tcBorders>
              <w:top w:val="single" w:sz="4" w:space="0" w:color="auto"/>
              <w:left w:val="nil"/>
              <w:bottom w:val="single" w:sz="4" w:space="0" w:color="auto"/>
              <w:right w:val="nil"/>
            </w:tcBorders>
            <w:shd w:val="clear" w:color="auto" w:fill="C9321F"/>
            <w:vAlign w:val="center"/>
            <w:hideMark/>
          </w:tcPr>
          <w:p w:rsidR="002F22AC" w:rsidRPr="004F2FB1" w:rsidRDefault="002F22AC">
            <w:pPr>
              <w:jc w:val="right"/>
              <w:rPr>
                <w:rFonts w:ascii="Arial Narrow" w:hAnsi="Arial Narrow" w:cs="Calibri"/>
                <w:b/>
                <w:bCs/>
                <w:caps/>
                <w:color w:val="FFFFFF"/>
                <w:sz w:val="18"/>
                <w:szCs w:val="18"/>
              </w:rPr>
            </w:pPr>
            <w:r w:rsidRPr="004F2FB1">
              <w:rPr>
                <w:rFonts w:ascii="Arial Narrow" w:hAnsi="Arial Narrow" w:cs="Calibri"/>
                <w:b/>
                <w:bCs/>
                <w:caps/>
                <w:color w:val="FFFFFF"/>
                <w:sz w:val="18"/>
                <w:szCs w:val="18"/>
              </w:rPr>
              <w:t> </w:t>
            </w:r>
          </w:p>
        </w:tc>
        <w:tc>
          <w:tcPr>
            <w:tcW w:w="421" w:type="pct"/>
            <w:tcBorders>
              <w:top w:val="single" w:sz="4" w:space="0" w:color="auto"/>
              <w:left w:val="nil"/>
              <w:bottom w:val="single" w:sz="4" w:space="0" w:color="auto"/>
              <w:right w:val="nil"/>
            </w:tcBorders>
            <w:shd w:val="clear" w:color="auto" w:fill="C9321F"/>
            <w:vAlign w:val="center"/>
            <w:hideMark/>
          </w:tcPr>
          <w:p w:rsidR="002F22AC" w:rsidRPr="004F2FB1" w:rsidRDefault="002F22AC">
            <w:pPr>
              <w:jc w:val="right"/>
              <w:rPr>
                <w:rFonts w:ascii="Arial Narrow" w:hAnsi="Arial Narrow" w:cs="Calibri"/>
                <w:b/>
                <w:bCs/>
                <w:caps/>
                <w:color w:val="FFFFFF"/>
                <w:sz w:val="18"/>
                <w:szCs w:val="18"/>
              </w:rPr>
            </w:pPr>
            <w:r w:rsidRPr="004F2FB1">
              <w:rPr>
                <w:rFonts w:ascii="Arial Narrow" w:hAnsi="Arial Narrow" w:cs="Calibri"/>
                <w:b/>
                <w:bCs/>
                <w:caps/>
                <w:color w:val="FFFFFF"/>
                <w:sz w:val="18"/>
                <w:szCs w:val="18"/>
              </w:rPr>
              <w:t> </w:t>
            </w:r>
          </w:p>
        </w:tc>
        <w:tc>
          <w:tcPr>
            <w:tcW w:w="454" w:type="pct"/>
            <w:tcBorders>
              <w:top w:val="single" w:sz="4" w:space="0" w:color="auto"/>
              <w:left w:val="nil"/>
              <w:bottom w:val="single" w:sz="4" w:space="0" w:color="auto"/>
              <w:right w:val="nil"/>
            </w:tcBorders>
            <w:shd w:val="clear" w:color="auto" w:fill="C9321F"/>
            <w:vAlign w:val="center"/>
            <w:hideMark/>
          </w:tcPr>
          <w:p w:rsidR="002F22AC" w:rsidRPr="004F2FB1" w:rsidRDefault="002F22AC">
            <w:pPr>
              <w:jc w:val="right"/>
              <w:rPr>
                <w:rFonts w:ascii="Arial Narrow" w:hAnsi="Arial Narrow" w:cs="Calibri"/>
                <w:b/>
                <w:bCs/>
                <w:caps/>
                <w:color w:val="FFFFFF"/>
                <w:sz w:val="18"/>
                <w:szCs w:val="18"/>
              </w:rPr>
            </w:pPr>
            <w:r w:rsidRPr="004F2FB1">
              <w:rPr>
                <w:rFonts w:ascii="Arial Narrow" w:hAnsi="Arial Narrow" w:cs="Calibri"/>
                <w:b/>
                <w:bCs/>
                <w:caps/>
                <w:color w:val="FFFFFF"/>
                <w:sz w:val="18"/>
                <w:szCs w:val="18"/>
              </w:rPr>
              <w:t> </w:t>
            </w:r>
          </w:p>
        </w:tc>
        <w:tc>
          <w:tcPr>
            <w:tcW w:w="382" w:type="pct"/>
            <w:tcBorders>
              <w:top w:val="single" w:sz="4" w:space="0" w:color="auto"/>
              <w:left w:val="nil"/>
              <w:bottom w:val="single" w:sz="4" w:space="0" w:color="auto"/>
              <w:right w:val="nil"/>
            </w:tcBorders>
            <w:shd w:val="clear" w:color="auto" w:fill="C9321F"/>
            <w:vAlign w:val="center"/>
            <w:hideMark/>
          </w:tcPr>
          <w:p w:rsidR="002F22AC" w:rsidRPr="004F2FB1" w:rsidRDefault="002F22AC">
            <w:pPr>
              <w:jc w:val="right"/>
              <w:rPr>
                <w:rFonts w:ascii="Arial Narrow" w:hAnsi="Arial Narrow" w:cs="Calibri"/>
                <w:b/>
                <w:bCs/>
                <w:caps/>
                <w:color w:val="FFFFFF"/>
                <w:sz w:val="18"/>
                <w:szCs w:val="18"/>
              </w:rPr>
            </w:pPr>
            <w:r w:rsidRPr="004F2FB1">
              <w:rPr>
                <w:rFonts w:ascii="Arial Narrow" w:hAnsi="Arial Narrow" w:cs="Calibri"/>
                <w:b/>
                <w:bCs/>
                <w:caps/>
                <w:color w:val="FFFFFF"/>
                <w:sz w:val="18"/>
                <w:szCs w:val="18"/>
              </w:rPr>
              <w:t> </w:t>
            </w:r>
          </w:p>
        </w:tc>
        <w:tc>
          <w:tcPr>
            <w:tcW w:w="421" w:type="pct"/>
            <w:tcBorders>
              <w:top w:val="single" w:sz="4" w:space="0" w:color="auto"/>
              <w:left w:val="nil"/>
              <w:bottom w:val="single" w:sz="4" w:space="0" w:color="auto"/>
              <w:right w:val="nil"/>
            </w:tcBorders>
            <w:shd w:val="clear" w:color="auto" w:fill="C9321F"/>
            <w:vAlign w:val="center"/>
            <w:hideMark/>
          </w:tcPr>
          <w:p w:rsidR="002F22AC" w:rsidRPr="004F2FB1" w:rsidRDefault="002F22AC">
            <w:pPr>
              <w:jc w:val="right"/>
              <w:rPr>
                <w:rFonts w:ascii="Arial Narrow" w:hAnsi="Arial Narrow" w:cs="Calibri"/>
                <w:b/>
                <w:bCs/>
                <w:caps/>
                <w:color w:val="FFFFFF"/>
                <w:sz w:val="18"/>
                <w:szCs w:val="18"/>
              </w:rPr>
            </w:pPr>
            <w:r w:rsidRPr="004F2FB1">
              <w:rPr>
                <w:rFonts w:ascii="Arial Narrow" w:hAnsi="Arial Narrow" w:cs="Calibri"/>
                <w:b/>
                <w:bCs/>
                <w:caps/>
                <w:color w:val="FFFFFF"/>
                <w:sz w:val="18"/>
                <w:szCs w:val="18"/>
              </w:rPr>
              <w:t> </w:t>
            </w:r>
          </w:p>
        </w:tc>
        <w:tc>
          <w:tcPr>
            <w:tcW w:w="454" w:type="pct"/>
            <w:tcBorders>
              <w:top w:val="single" w:sz="4" w:space="0" w:color="auto"/>
              <w:left w:val="nil"/>
              <w:bottom w:val="single" w:sz="4" w:space="0" w:color="auto"/>
              <w:right w:val="nil"/>
            </w:tcBorders>
            <w:shd w:val="clear" w:color="auto" w:fill="C9321F"/>
            <w:noWrap/>
            <w:vAlign w:val="center"/>
            <w:hideMark/>
          </w:tcPr>
          <w:p w:rsidR="002F22AC" w:rsidRPr="004F2FB1" w:rsidRDefault="002F22AC">
            <w:pPr>
              <w:jc w:val="right"/>
              <w:rPr>
                <w:rFonts w:ascii="Arial Narrow" w:hAnsi="Arial Narrow" w:cs="Calibri"/>
                <w:b/>
                <w:bCs/>
                <w:caps/>
                <w:color w:val="FFFFFF"/>
                <w:sz w:val="18"/>
                <w:szCs w:val="18"/>
              </w:rPr>
            </w:pPr>
            <w:r w:rsidRPr="004F2FB1">
              <w:rPr>
                <w:rFonts w:ascii="Arial Narrow" w:hAnsi="Arial Narrow" w:cs="Calibri"/>
                <w:b/>
                <w:bCs/>
                <w:caps/>
                <w:color w:val="FFFFFF"/>
                <w:sz w:val="18"/>
                <w:szCs w:val="18"/>
              </w:rPr>
              <w:t> </w:t>
            </w:r>
          </w:p>
        </w:tc>
        <w:tc>
          <w:tcPr>
            <w:tcW w:w="421" w:type="pct"/>
            <w:tcBorders>
              <w:top w:val="single" w:sz="4" w:space="0" w:color="auto"/>
              <w:left w:val="nil"/>
              <w:bottom w:val="single" w:sz="4" w:space="0" w:color="auto"/>
              <w:right w:val="nil"/>
            </w:tcBorders>
            <w:shd w:val="clear" w:color="auto" w:fill="C9321F"/>
            <w:noWrap/>
            <w:vAlign w:val="center"/>
            <w:hideMark/>
          </w:tcPr>
          <w:p w:rsidR="002F22AC" w:rsidRPr="004F2FB1" w:rsidRDefault="002F22AC">
            <w:pPr>
              <w:jc w:val="right"/>
              <w:rPr>
                <w:rFonts w:ascii="Arial Narrow" w:hAnsi="Arial Narrow" w:cs="Calibri"/>
                <w:b/>
                <w:bCs/>
                <w:caps/>
                <w:color w:val="FFFFFF"/>
                <w:sz w:val="18"/>
                <w:szCs w:val="18"/>
              </w:rPr>
            </w:pPr>
            <w:r w:rsidRPr="004F2FB1">
              <w:rPr>
                <w:rFonts w:ascii="Arial Narrow" w:hAnsi="Arial Narrow" w:cs="Calibri"/>
                <w:b/>
                <w:bCs/>
                <w:caps/>
                <w:color w:val="FFFFFF"/>
                <w:sz w:val="18"/>
                <w:szCs w:val="18"/>
              </w:rPr>
              <w:t> </w:t>
            </w:r>
          </w:p>
        </w:tc>
      </w:tr>
      <w:tr w:rsidR="002F22AC" w:rsidTr="004F2FB1">
        <w:trPr>
          <w:trHeight w:val="255"/>
        </w:trPr>
        <w:tc>
          <w:tcPr>
            <w:tcW w:w="1214" w:type="pct"/>
            <w:tcBorders>
              <w:top w:val="single" w:sz="4" w:space="0" w:color="auto"/>
              <w:left w:val="nil"/>
              <w:bottom w:val="single" w:sz="4" w:space="0" w:color="auto"/>
              <w:right w:val="nil"/>
            </w:tcBorders>
            <w:shd w:val="clear" w:color="auto" w:fill="auto"/>
            <w:noWrap/>
            <w:vAlign w:val="center"/>
            <w:hideMark/>
          </w:tcPr>
          <w:p w:rsidR="002F22AC" w:rsidRDefault="002F22AC">
            <w:pPr>
              <w:ind w:firstLineChars="100" w:firstLine="180"/>
              <w:rPr>
                <w:rFonts w:ascii="Arial Narrow" w:hAnsi="Arial Narrow" w:cs="Calibri"/>
                <w:color w:val="000000"/>
                <w:sz w:val="18"/>
                <w:szCs w:val="18"/>
              </w:rPr>
            </w:pPr>
            <w:r>
              <w:rPr>
                <w:rFonts w:ascii="Arial Narrow" w:hAnsi="Arial Narrow" w:cs="Calibri"/>
                <w:color w:val="000000"/>
                <w:sz w:val="18"/>
                <w:szCs w:val="18"/>
              </w:rPr>
              <w:t>Tasso di attività</w:t>
            </w:r>
          </w:p>
        </w:tc>
        <w:tc>
          <w:tcPr>
            <w:tcW w:w="365" w:type="pct"/>
            <w:tcBorders>
              <w:top w:val="single" w:sz="4" w:space="0" w:color="auto"/>
              <w:left w:val="nil"/>
              <w:bottom w:val="single" w:sz="4" w:space="0" w:color="auto"/>
              <w:right w:val="nil"/>
            </w:tcBorders>
            <w:shd w:val="clear" w:color="000000" w:fill="D9D9D9"/>
            <w:noWrap/>
            <w:vAlign w:val="center"/>
            <w:hideMark/>
          </w:tcPr>
          <w:p w:rsidR="002F22AC" w:rsidRDefault="002F22AC">
            <w:pPr>
              <w:jc w:val="right"/>
              <w:rPr>
                <w:rFonts w:ascii="Arial Narrow" w:hAnsi="Arial Narrow" w:cs="Calibri"/>
                <w:color w:val="000000"/>
                <w:sz w:val="18"/>
                <w:szCs w:val="18"/>
              </w:rPr>
            </w:pPr>
            <w:r>
              <w:rPr>
                <w:rFonts w:ascii="Arial Narrow" w:hAnsi="Arial Narrow" w:cs="Calibri"/>
                <w:color w:val="000000"/>
                <w:sz w:val="18"/>
                <w:szCs w:val="18"/>
              </w:rPr>
              <w:t>61,5</w:t>
            </w:r>
          </w:p>
        </w:tc>
        <w:tc>
          <w:tcPr>
            <w:tcW w:w="460" w:type="pct"/>
            <w:tcBorders>
              <w:top w:val="single" w:sz="4" w:space="0" w:color="auto"/>
              <w:left w:val="nil"/>
              <w:bottom w:val="single" w:sz="4" w:space="0" w:color="auto"/>
              <w:right w:val="nil"/>
            </w:tcBorders>
            <w:shd w:val="clear" w:color="auto" w:fill="auto"/>
            <w:vAlign w:val="center"/>
            <w:hideMark/>
          </w:tcPr>
          <w:p w:rsidR="002F22AC" w:rsidRDefault="002F22AC">
            <w:pPr>
              <w:jc w:val="right"/>
              <w:rPr>
                <w:rFonts w:ascii="Arial Narrow" w:hAnsi="Arial Narrow" w:cs="Calibri"/>
                <w:color w:val="000000"/>
                <w:sz w:val="18"/>
                <w:szCs w:val="18"/>
              </w:rPr>
            </w:pPr>
            <w:r>
              <w:rPr>
                <w:rFonts w:ascii="Arial Narrow" w:hAnsi="Arial Narrow" w:cs="Calibri"/>
                <w:color w:val="000000"/>
                <w:sz w:val="18"/>
                <w:szCs w:val="18"/>
              </w:rPr>
              <w:t>44,0</w:t>
            </w:r>
          </w:p>
        </w:tc>
        <w:tc>
          <w:tcPr>
            <w:tcW w:w="407" w:type="pct"/>
            <w:tcBorders>
              <w:top w:val="single" w:sz="4" w:space="0" w:color="auto"/>
              <w:left w:val="nil"/>
              <w:bottom w:val="single" w:sz="4" w:space="0" w:color="auto"/>
              <w:right w:val="nil"/>
            </w:tcBorders>
            <w:shd w:val="clear" w:color="000000" w:fill="D9D9D9"/>
            <w:vAlign w:val="center"/>
            <w:hideMark/>
          </w:tcPr>
          <w:p w:rsidR="002F22AC" w:rsidRDefault="002F22AC">
            <w:pPr>
              <w:jc w:val="right"/>
              <w:rPr>
                <w:rFonts w:ascii="Arial Narrow" w:hAnsi="Arial Narrow" w:cs="Calibri"/>
                <w:color w:val="000000"/>
                <w:sz w:val="18"/>
                <w:szCs w:val="18"/>
              </w:rPr>
            </w:pPr>
            <w:r>
              <w:rPr>
                <w:rFonts w:ascii="Arial Narrow" w:hAnsi="Arial Narrow" w:cs="Calibri"/>
                <w:color w:val="000000"/>
                <w:sz w:val="18"/>
                <w:szCs w:val="18"/>
              </w:rPr>
              <w:t>52,5</w:t>
            </w:r>
          </w:p>
        </w:tc>
        <w:tc>
          <w:tcPr>
            <w:tcW w:w="421" w:type="pct"/>
            <w:tcBorders>
              <w:top w:val="single" w:sz="4" w:space="0" w:color="auto"/>
              <w:left w:val="nil"/>
              <w:bottom w:val="single" w:sz="4" w:space="0" w:color="auto"/>
              <w:right w:val="nil"/>
            </w:tcBorders>
            <w:shd w:val="clear" w:color="auto" w:fill="auto"/>
            <w:vAlign w:val="center"/>
            <w:hideMark/>
          </w:tcPr>
          <w:p w:rsidR="002F22AC" w:rsidRDefault="002F22AC">
            <w:pPr>
              <w:jc w:val="right"/>
              <w:rPr>
                <w:rFonts w:ascii="Arial Narrow" w:hAnsi="Arial Narrow" w:cs="Calibri"/>
                <w:color w:val="000000"/>
                <w:sz w:val="18"/>
                <w:szCs w:val="18"/>
              </w:rPr>
            </w:pPr>
            <w:r>
              <w:rPr>
                <w:rFonts w:ascii="Arial Narrow" w:hAnsi="Arial Narrow" w:cs="Calibri"/>
                <w:color w:val="000000"/>
                <w:sz w:val="18"/>
                <w:szCs w:val="18"/>
              </w:rPr>
              <w:t>61,7</w:t>
            </w:r>
          </w:p>
        </w:tc>
        <w:tc>
          <w:tcPr>
            <w:tcW w:w="454" w:type="pct"/>
            <w:tcBorders>
              <w:top w:val="single" w:sz="4" w:space="0" w:color="auto"/>
              <w:left w:val="nil"/>
              <w:bottom w:val="single" w:sz="4" w:space="0" w:color="auto"/>
              <w:right w:val="nil"/>
            </w:tcBorders>
            <w:shd w:val="clear" w:color="000000" w:fill="D9D9D9"/>
            <w:vAlign w:val="center"/>
            <w:hideMark/>
          </w:tcPr>
          <w:p w:rsidR="002F22AC" w:rsidRDefault="002F22AC">
            <w:pPr>
              <w:jc w:val="right"/>
              <w:rPr>
                <w:rFonts w:ascii="Arial Narrow" w:hAnsi="Arial Narrow" w:cs="Calibri"/>
                <w:color w:val="000000"/>
                <w:sz w:val="18"/>
                <w:szCs w:val="18"/>
              </w:rPr>
            </w:pPr>
            <w:r>
              <w:rPr>
                <w:rFonts w:ascii="Arial Narrow" w:hAnsi="Arial Narrow" w:cs="Calibri"/>
                <w:color w:val="000000"/>
                <w:sz w:val="18"/>
                <w:szCs w:val="18"/>
              </w:rPr>
              <w:t>44,0</w:t>
            </w:r>
          </w:p>
        </w:tc>
        <w:tc>
          <w:tcPr>
            <w:tcW w:w="382" w:type="pct"/>
            <w:tcBorders>
              <w:top w:val="single" w:sz="4" w:space="0" w:color="auto"/>
              <w:left w:val="nil"/>
              <w:bottom w:val="single" w:sz="4" w:space="0" w:color="auto"/>
              <w:right w:val="nil"/>
            </w:tcBorders>
            <w:shd w:val="clear" w:color="auto" w:fill="auto"/>
            <w:vAlign w:val="center"/>
            <w:hideMark/>
          </w:tcPr>
          <w:p w:rsidR="002F22AC" w:rsidRDefault="002F22AC">
            <w:pPr>
              <w:jc w:val="right"/>
              <w:rPr>
                <w:rFonts w:ascii="Arial Narrow" w:hAnsi="Arial Narrow" w:cs="Calibri"/>
                <w:color w:val="000000"/>
                <w:sz w:val="18"/>
                <w:szCs w:val="18"/>
              </w:rPr>
            </w:pPr>
            <w:r>
              <w:rPr>
                <w:rFonts w:ascii="Arial Narrow" w:hAnsi="Arial Narrow" w:cs="Calibri"/>
                <w:color w:val="000000"/>
                <w:sz w:val="18"/>
                <w:szCs w:val="18"/>
              </w:rPr>
              <w:t>52,6</w:t>
            </w:r>
          </w:p>
        </w:tc>
        <w:tc>
          <w:tcPr>
            <w:tcW w:w="421" w:type="pct"/>
            <w:tcBorders>
              <w:top w:val="single" w:sz="4" w:space="0" w:color="auto"/>
              <w:left w:val="nil"/>
              <w:bottom w:val="single" w:sz="4" w:space="0" w:color="auto"/>
              <w:right w:val="nil"/>
            </w:tcBorders>
            <w:shd w:val="clear" w:color="000000" w:fill="D9D9D9"/>
            <w:vAlign w:val="center"/>
            <w:hideMark/>
          </w:tcPr>
          <w:p w:rsidR="002F22AC" w:rsidRDefault="002F22AC">
            <w:pPr>
              <w:jc w:val="right"/>
              <w:rPr>
                <w:rFonts w:ascii="Arial Narrow" w:hAnsi="Arial Narrow" w:cs="Calibri"/>
                <w:color w:val="000000"/>
                <w:sz w:val="18"/>
                <w:szCs w:val="18"/>
              </w:rPr>
            </w:pPr>
            <w:r>
              <w:rPr>
                <w:rFonts w:ascii="Arial Narrow" w:hAnsi="Arial Narrow" w:cs="Calibri"/>
                <w:color w:val="000000"/>
                <w:sz w:val="18"/>
                <w:szCs w:val="18"/>
              </w:rPr>
              <w:t>60,7</w:t>
            </w:r>
          </w:p>
        </w:tc>
        <w:tc>
          <w:tcPr>
            <w:tcW w:w="454" w:type="pct"/>
            <w:tcBorders>
              <w:top w:val="single" w:sz="4" w:space="0" w:color="auto"/>
              <w:left w:val="nil"/>
              <w:bottom w:val="single" w:sz="4" w:space="0" w:color="auto"/>
              <w:right w:val="nil"/>
            </w:tcBorders>
            <w:shd w:val="clear" w:color="auto" w:fill="auto"/>
            <w:noWrap/>
            <w:vAlign w:val="center"/>
            <w:hideMark/>
          </w:tcPr>
          <w:p w:rsidR="002F22AC" w:rsidRDefault="002F22AC">
            <w:pPr>
              <w:jc w:val="right"/>
              <w:rPr>
                <w:rFonts w:ascii="Arial Narrow" w:hAnsi="Arial Narrow" w:cs="Calibri"/>
                <w:color w:val="000000"/>
                <w:sz w:val="18"/>
                <w:szCs w:val="18"/>
              </w:rPr>
            </w:pPr>
            <w:r>
              <w:rPr>
                <w:rFonts w:ascii="Arial Narrow" w:hAnsi="Arial Narrow" w:cs="Calibri"/>
                <w:color w:val="000000"/>
                <w:sz w:val="18"/>
                <w:szCs w:val="18"/>
              </w:rPr>
              <w:t>41,8</w:t>
            </w:r>
          </w:p>
        </w:tc>
        <w:tc>
          <w:tcPr>
            <w:tcW w:w="421" w:type="pct"/>
            <w:tcBorders>
              <w:top w:val="single" w:sz="4" w:space="0" w:color="auto"/>
              <w:left w:val="nil"/>
              <w:bottom w:val="single" w:sz="4" w:space="0" w:color="auto"/>
              <w:right w:val="nil"/>
            </w:tcBorders>
            <w:shd w:val="clear" w:color="000000" w:fill="D9D9D9"/>
            <w:noWrap/>
            <w:vAlign w:val="center"/>
            <w:hideMark/>
          </w:tcPr>
          <w:p w:rsidR="002F22AC" w:rsidRDefault="002F22AC">
            <w:pPr>
              <w:jc w:val="right"/>
              <w:rPr>
                <w:rFonts w:ascii="Arial Narrow" w:hAnsi="Arial Narrow" w:cs="Calibri"/>
                <w:color w:val="000000"/>
                <w:sz w:val="18"/>
                <w:szCs w:val="18"/>
              </w:rPr>
            </w:pPr>
            <w:r>
              <w:rPr>
                <w:rFonts w:ascii="Arial Narrow" w:hAnsi="Arial Narrow" w:cs="Calibri"/>
                <w:color w:val="000000"/>
                <w:sz w:val="18"/>
                <w:szCs w:val="18"/>
              </w:rPr>
              <w:t>50,8</w:t>
            </w:r>
          </w:p>
        </w:tc>
      </w:tr>
      <w:tr w:rsidR="002F22AC" w:rsidTr="004F2FB1">
        <w:trPr>
          <w:trHeight w:val="255"/>
        </w:trPr>
        <w:tc>
          <w:tcPr>
            <w:tcW w:w="1214" w:type="pct"/>
            <w:tcBorders>
              <w:top w:val="single" w:sz="4" w:space="0" w:color="auto"/>
              <w:left w:val="nil"/>
              <w:bottom w:val="single" w:sz="4" w:space="0" w:color="auto"/>
              <w:right w:val="nil"/>
            </w:tcBorders>
            <w:shd w:val="clear" w:color="auto" w:fill="auto"/>
            <w:noWrap/>
            <w:vAlign w:val="center"/>
            <w:hideMark/>
          </w:tcPr>
          <w:p w:rsidR="002F22AC" w:rsidRDefault="002F22AC">
            <w:pPr>
              <w:ind w:firstLineChars="100" w:firstLine="180"/>
              <w:rPr>
                <w:rFonts w:ascii="Arial Narrow" w:hAnsi="Arial Narrow" w:cs="Calibri"/>
                <w:color w:val="000000"/>
                <w:sz w:val="18"/>
                <w:szCs w:val="18"/>
              </w:rPr>
            </w:pPr>
            <w:r>
              <w:rPr>
                <w:rFonts w:ascii="Arial Narrow" w:hAnsi="Arial Narrow" w:cs="Calibri"/>
                <w:color w:val="000000"/>
                <w:sz w:val="18"/>
                <w:szCs w:val="18"/>
              </w:rPr>
              <w:t>Tasso di occupazione</w:t>
            </w:r>
          </w:p>
        </w:tc>
        <w:tc>
          <w:tcPr>
            <w:tcW w:w="365" w:type="pct"/>
            <w:tcBorders>
              <w:top w:val="single" w:sz="4" w:space="0" w:color="auto"/>
              <w:left w:val="nil"/>
              <w:bottom w:val="single" w:sz="4" w:space="0" w:color="auto"/>
              <w:right w:val="nil"/>
            </w:tcBorders>
            <w:shd w:val="clear" w:color="000000" w:fill="D9D9D9"/>
            <w:noWrap/>
            <w:vAlign w:val="center"/>
            <w:hideMark/>
          </w:tcPr>
          <w:p w:rsidR="002F22AC" w:rsidRDefault="002F22AC">
            <w:pPr>
              <w:jc w:val="right"/>
              <w:rPr>
                <w:rFonts w:ascii="Arial Narrow" w:hAnsi="Arial Narrow" w:cs="Calibri"/>
                <w:color w:val="000000"/>
                <w:sz w:val="18"/>
                <w:szCs w:val="18"/>
              </w:rPr>
            </w:pPr>
            <w:r>
              <w:rPr>
                <w:rFonts w:ascii="Arial Narrow" w:hAnsi="Arial Narrow" w:cs="Calibri"/>
                <w:color w:val="000000"/>
                <w:sz w:val="18"/>
                <w:szCs w:val="18"/>
              </w:rPr>
              <w:t>54,4</w:t>
            </w:r>
          </w:p>
        </w:tc>
        <w:tc>
          <w:tcPr>
            <w:tcW w:w="460" w:type="pct"/>
            <w:tcBorders>
              <w:top w:val="single" w:sz="4" w:space="0" w:color="auto"/>
              <w:left w:val="nil"/>
              <w:bottom w:val="single" w:sz="4" w:space="0" w:color="auto"/>
              <w:right w:val="nil"/>
            </w:tcBorders>
            <w:shd w:val="clear" w:color="auto" w:fill="auto"/>
            <w:vAlign w:val="center"/>
            <w:hideMark/>
          </w:tcPr>
          <w:p w:rsidR="002F22AC" w:rsidRDefault="002F22AC">
            <w:pPr>
              <w:jc w:val="right"/>
              <w:rPr>
                <w:rFonts w:ascii="Arial Narrow" w:hAnsi="Arial Narrow" w:cs="Calibri"/>
                <w:color w:val="000000"/>
                <w:sz w:val="18"/>
                <w:szCs w:val="18"/>
              </w:rPr>
            </w:pPr>
            <w:r>
              <w:rPr>
                <w:rFonts w:ascii="Arial Narrow" w:hAnsi="Arial Narrow" w:cs="Calibri"/>
                <w:color w:val="000000"/>
                <w:sz w:val="18"/>
                <w:szCs w:val="18"/>
              </w:rPr>
              <w:t>37,4</w:t>
            </w:r>
          </w:p>
        </w:tc>
        <w:tc>
          <w:tcPr>
            <w:tcW w:w="407" w:type="pct"/>
            <w:tcBorders>
              <w:top w:val="single" w:sz="4" w:space="0" w:color="auto"/>
              <w:left w:val="nil"/>
              <w:bottom w:val="single" w:sz="4" w:space="0" w:color="auto"/>
              <w:right w:val="nil"/>
            </w:tcBorders>
            <w:shd w:val="clear" w:color="000000" w:fill="D9D9D9"/>
            <w:vAlign w:val="center"/>
            <w:hideMark/>
          </w:tcPr>
          <w:p w:rsidR="002F22AC" w:rsidRDefault="002F22AC">
            <w:pPr>
              <w:jc w:val="right"/>
              <w:rPr>
                <w:rFonts w:ascii="Arial Narrow" w:hAnsi="Arial Narrow" w:cs="Calibri"/>
                <w:color w:val="000000"/>
                <w:sz w:val="18"/>
                <w:szCs w:val="18"/>
              </w:rPr>
            </w:pPr>
            <w:r>
              <w:rPr>
                <w:rFonts w:ascii="Arial Narrow" w:hAnsi="Arial Narrow" w:cs="Calibri"/>
                <w:color w:val="000000"/>
                <w:sz w:val="18"/>
                <w:szCs w:val="18"/>
              </w:rPr>
              <w:t>45,6</w:t>
            </w:r>
          </w:p>
        </w:tc>
        <w:tc>
          <w:tcPr>
            <w:tcW w:w="421" w:type="pct"/>
            <w:tcBorders>
              <w:top w:val="single" w:sz="4" w:space="0" w:color="auto"/>
              <w:left w:val="nil"/>
              <w:bottom w:val="single" w:sz="4" w:space="0" w:color="auto"/>
              <w:right w:val="nil"/>
            </w:tcBorders>
            <w:shd w:val="clear" w:color="auto" w:fill="auto"/>
            <w:vAlign w:val="center"/>
            <w:hideMark/>
          </w:tcPr>
          <w:p w:rsidR="002F22AC" w:rsidRDefault="002F22AC">
            <w:pPr>
              <w:jc w:val="right"/>
              <w:rPr>
                <w:rFonts w:ascii="Arial Narrow" w:hAnsi="Arial Narrow" w:cs="Calibri"/>
                <w:color w:val="000000"/>
                <w:sz w:val="18"/>
                <w:szCs w:val="18"/>
              </w:rPr>
            </w:pPr>
            <w:r>
              <w:rPr>
                <w:rFonts w:ascii="Arial Narrow" w:hAnsi="Arial Narrow" w:cs="Calibri"/>
                <w:color w:val="000000"/>
                <w:sz w:val="18"/>
                <w:szCs w:val="18"/>
              </w:rPr>
              <w:t>53,8</w:t>
            </w:r>
          </w:p>
        </w:tc>
        <w:tc>
          <w:tcPr>
            <w:tcW w:w="454" w:type="pct"/>
            <w:tcBorders>
              <w:top w:val="single" w:sz="4" w:space="0" w:color="auto"/>
              <w:left w:val="nil"/>
              <w:bottom w:val="single" w:sz="4" w:space="0" w:color="auto"/>
              <w:right w:val="nil"/>
            </w:tcBorders>
            <w:shd w:val="clear" w:color="000000" w:fill="D9D9D9"/>
            <w:vAlign w:val="center"/>
            <w:hideMark/>
          </w:tcPr>
          <w:p w:rsidR="002F22AC" w:rsidRDefault="002F22AC">
            <w:pPr>
              <w:jc w:val="right"/>
              <w:rPr>
                <w:rFonts w:ascii="Arial Narrow" w:hAnsi="Arial Narrow" w:cs="Calibri"/>
                <w:color w:val="000000"/>
                <w:sz w:val="18"/>
                <w:szCs w:val="18"/>
              </w:rPr>
            </w:pPr>
            <w:r>
              <w:rPr>
                <w:rFonts w:ascii="Arial Narrow" w:hAnsi="Arial Narrow" w:cs="Calibri"/>
                <w:color w:val="000000"/>
                <w:sz w:val="18"/>
                <w:szCs w:val="18"/>
              </w:rPr>
              <w:t>36,8</w:t>
            </w:r>
          </w:p>
        </w:tc>
        <w:tc>
          <w:tcPr>
            <w:tcW w:w="382" w:type="pct"/>
            <w:tcBorders>
              <w:top w:val="single" w:sz="4" w:space="0" w:color="auto"/>
              <w:left w:val="nil"/>
              <w:bottom w:val="single" w:sz="4" w:space="0" w:color="auto"/>
              <w:right w:val="nil"/>
            </w:tcBorders>
            <w:shd w:val="clear" w:color="auto" w:fill="auto"/>
            <w:vAlign w:val="center"/>
            <w:hideMark/>
          </w:tcPr>
          <w:p w:rsidR="002F22AC" w:rsidRDefault="002F22AC">
            <w:pPr>
              <w:jc w:val="right"/>
              <w:rPr>
                <w:rFonts w:ascii="Arial Narrow" w:hAnsi="Arial Narrow" w:cs="Calibri"/>
                <w:color w:val="000000"/>
                <w:sz w:val="18"/>
                <w:szCs w:val="18"/>
              </w:rPr>
            </w:pPr>
            <w:r>
              <w:rPr>
                <w:rFonts w:ascii="Arial Narrow" w:hAnsi="Arial Narrow" w:cs="Calibri"/>
                <w:color w:val="000000"/>
                <w:sz w:val="18"/>
                <w:szCs w:val="18"/>
              </w:rPr>
              <w:t>45,0</w:t>
            </w:r>
          </w:p>
        </w:tc>
        <w:tc>
          <w:tcPr>
            <w:tcW w:w="421" w:type="pct"/>
            <w:tcBorders>
              <w:top w:val="single" w:sz="4" w:space="0" w:color="auto"/>
              <w:left w:val="nil"/>
              <w:bottom w:val="single" w:sz="4" w:space="0" w:color="auto"/>
              <w:right w:val="nil"/>
            </w:tcBorders>
            <w:shd w:val="clear" w:color="000000" w:fill="D9D9D9"/>
            <w:vAlign w:val="center"/>
            <w:hideMark/>
          </w:tcPr>
          <w:p w:rsidR="002F22AC" w:rsidRDefault="002F22AC">
            <w:pPr>
              <w:jc w:val="right"/>
              <w:rPr>
                <w:rFonts w:ascii="Arial Narrow" w:hAnsi="Arial Narrow" w:cs="Calibri"/>
                <w:color w:val="000000"/>
                <w:sz w:val="18"/>
                <w:szCs w:val="18"/>
              </w:rPr>
            </w:pPr>
            <w:r>
              <w:rPr>
                <w:rFonts w:ascii="Arial Narrow" w:hAnsi="Arial Narrow" w:cs="Calibri"/>
                <w:color w:val="000000"/>
                <w:sz w:val="18"/>
                <w:szCs w:val="18"/>
              </w:rPr>
              <w:t>54,8</w:t>
            </w:r>
          </w:p>
        </w:tc>
        <w:tc>
          <w:tcPr>
            <w:tcW w:w="454" w:type="pct"/>
            <w:tcBorders>
              <w:top w:val="single" w:sz="4" w:space="0" w:color="auto"/>
              <w:left w:val="nil"/>
              <w:bottom w:val="single" w:sz="4" w:space="0" w:color="auto"/>
              <w:right w:val="nil"/>
            </w:tcBorders>
            <w:shd w:val="clear" w:color="auto" w:fill="auto"/>
            <w:noWrap/>
            <w:vAlign w:val="center"/>
            <w:hideMark/>
          </w:tcPr>
          <w:p w:rsidR="002F22AC" w:rsidRDefault="002F22AC">
            <w:pPr>
              <w:jc w:val="right"/>
              <w:rPr>
                <w:rFonts w:ascii="Arial Narrow" w:hAnsi="Arial Narrow" w:cs="Calibri"/>
                <w:color w:val="000000"/>
                <w:sz w:val="18"/>
                <w:szCs w:val="18"/>
              </w:rPr>
            </w:pPr>
            <w:r>
              <w:rPr>
                <w:rFonts w:ascii="Arial Narrow" w:hAnsi="Arial Narrow" w:cs="Calibri"/>
                <w:color w:val="000000"/>
                <w:sz w:val="18"/>
                <w:szCs w:val="18"/>
              </w:rPr>
              <w:t>36,1</w:t>
            </w:r>
          </w:p>
        </w:tc>
        <w:tc>
          <w:tcPr>
            <w:tcW w:w="421" w:type="pct"/>
            <w:tcBorders>
              <w:top w:val="single" w:sz="4" w:space="0" w:color="auto"/>
              <w:left w:val="nil"/>
              <w:bottom w:val="single" w:sz="4" w:space="0" w:color="auto"/>
              <w:right w:val="nil"/>
            </w:tcBorders>
            <w:shd w:val="clear" w:color="000000" w:fill="D9D9D9"/>
            <w:noWrap/>
            <w:vAlign w:val="center"/>
            <w:hideMark/>
          </w:tcPr>
          <w:p w:rsidR="002F22AC" w:rsidRDefault="002F22AC">
            <w:pPr>
              <w:jc w:val="right"/>
              <w:rPr>
                <w:rFonts w:ascii="Arial Narrow" w:hAnsi="Arial Narrow" w:cs="Calibri"/>
                <w:color w:val="000000"/>
                <w:sz w:val="18"/>
                <w:szCs w:val="18"/>
              </w:rPr>
            </w:pPr>
            <w:r>
              <w:rPr>
                <w:rFonts w:ascii="Arial Narrow" w:hAnsi="Arial Narrow" w:cs="Calibri"/>
                <w:color w:val="000000"/>
                <w:sz w:val="18"/>
                <w:szCs w:val="18"/>
              </w:rPr>
              <w:t>45,0</w:t>
            </w:r>
          </w:p>
        </w:tc>
      </w:tr>
      <w:tr w:rsidR="002F22AC" w:rsidTr="004F2FB1">
        <w:trPr>
          <w:trHeight w:val="255"/>
        </w:trPr>
        <w:tc>
          <w:tcPr>
            <w:tcW w:w="1214" w:type="pct"/>
            <w:tcBorders>
              <w:top w:val="single" w:sz="4" w:space="0" w:color="auto"/>
              <w:left w:val="nil"/>
              <w:bottom w:val="single" w:sz="4" w:space="0" w:color="auto"/>
              <w:right w:val="nil"/>
            </w:tcBorders>
            <w:shd w:val="clear" w:color="auto" w:fill="auto"/>
            <w:noWrap/>
            <w:vAlign w:val="center"/>
            <w:hideMark/>
          </w:tcPr>
          <w:p w:rsidR="002F22AC" w:rsidRDefault="002F22AC">
            <w:pPr>
              <w:ind w:firstLineChars="100" w:firstLine="180"/>
              <w:rPr>
                <w:rFonts w:ascii="Arial Narrow" w:hAnsi="Arial Narrow" w:cs="Calibri"/>
                <w:color w:val="000000"/>
                <w:sz w:val="18"/>
                <w:szCs w:val="18"/>
              </w:rPr>
            </w:pPr>
            <w:r>
              <w:rPr>
                <w:rFonts w:ascii="Arial Narrow" w:hAnsi="Arial Narrow" w:cs="Calibri"/>
                <w:color w:val="000000"/>
                <w:sz w:val="18"/>
                <w:szCs w:val="18"/>
              </w:rPr>
              <w:t>Tasso di disoccupazione</w:t>
            </w:r>
          </w:p>
        </w:tc>
        <w:tc>
          <w:tcPr>
            <w:tcW w:w="365" w:type="pct"/>
            <w:tcBorders>
              <w:top w:val="single" w:sz="4" w:space="0" w:color="auto"/>
              <w:left w:val="nil"/>
              <w:bottom w:val="single" w:sz="4" w:space="0" w:color="auto"/>
              <w:right w:val="nil"/>
            </w:tcBorders>
            <w:shd w:val="clear" w:color="000000" w:fill="D9D9D9"/>
            <w:noWrap/>
            <w:vAlign w:val="center"/>
            <w:hideMark/>
          </w:tcPr>
          <w:p w:rsidR="002F22AC" w:rsidRDefault="002F22AC">
            <w:pPr>
              <w:jc w:val="right"/>
              <w:rPr>
                <w:rFonts w:ascii="Arial Narrow" w:hAnsi="Arial Narrow" w:cs="Calibri"/>
                <w:color w:val="000000"/>
                <w:sz w:val="18"/>
                <w:szCs w:val="18"/>
              </w:rPr>
            </w:pPr>
            <w:r>
              <w:rPr>
                <w:rFonts w:ascii="Arial Narrow" w:hAnsi="Arial Narrow" w:cs="Calibri"/>
                <w:color w:val="000000"/>
                <w:sz w:val="18"/>
                <w:szCs w:val="18"/>
              </w:rPr>
              <w:t>11,6</w:t>
            </w:r>
          </w:p>
        </w:tc>
        <w:tc>
          <w:tcPr>
            <w:tcW w:w="460" w:type="pct"/>
            <w:tcBorders>
              <w:top w:val="single" w:sz="4" w:space="0" w:color="auto"/>
              <w:left w:val="nil"/>
              <w:bottom w:val="single" w:sz="4" w:space="0" w:color="auto"/>
              <w:right w:val="nil"/>
            </w:tcBorders>
            <w:shd w:val="clear" w:color="auto" w:fill="auto"/>
            <w:vAlign w:val="center"/>
            <w:hideMark/>
          </w:tcPr>
          <w:p w:rsidR="002F22AC" w:rsidRDefault="002F22AC">
            <w:pPr>
              <w:jc w:val="right"/>
              <w:rPr>
                <w:rFonts w:ascii="Arial Narrow" w:hAnsi="Arial Narrow" w:cs="Calibri"/>
                <w:color w:val="000000"/>
                <w:sz w:val="18"/>
                <w:szCs w:val="18"/>
              </w:rPr>
            </w:pPr>
            <w:r>
              <w:rPr>
                <w:rFonts w:ascii="Arial Narrow" w:hAnsi="Arial Narrow" w:cs="Calibri"/>
                <w:color w:val="000000"/>
                <w:sz w:val="18"/>
                <w:szCs w:val="18"/>
              </w:rPr>
              <w:t>15,1</w:t>
            </w:r>
          </w:p>
        </w:tc>
        <w:tc>
          <w:tcPr>
            <w:tcW w:w="407" w:type="pct"/>
            <w:tcBorders>
              <w:top w:val="single" w:sz="4" w:space="0" w:color="auto"/>
              <w:left w:val="nil"/>
              <w:bottom w:val="single" w:sz="4" w:space="0" w:color="auto"/>
              <w:right w:val="nil"/>
            </w:tcBorders>
            <w:shd w:val="clear" w:color="000000" w:fill="D9D9D9"/>
            <w:vAlign w:val="center"/>
            <w:hideMark/>
          </w:tcPr>
          <w:p w:rsidR="002F22AC" w:rsidRDefault="002F22AC">
            <w:pPr>
              <w:jc w:val="right"/>
              <w:rPr>
                <w:rFonts w:ascii="Arial Narrow" w:hAnsi="Arial Narrow" w:cs="Calibri"/>
                <w:color w:val="000000"/>
                <w:sz w:val="18"/>
                <w:szCs w:val="18"/>
              </w:rPr>
            </w:pPr>
            <w:r>
              <w:rPr>
                <w:rFonts w:ascii="Arial Narrow" w:hAnsi="Arial Narrow" w:cs="Calibri"/>
                <w:color w:val="000000"/>
                <w:sz w:val="18"/>
                <w:szCs w:val="18"/>
              </w:rPr>
              <w:t>13,1</w:t>
            </w:r>
          </w:p>
        </w:tc>
        <w:tc>
          <w:tcPr>
            <w:tcW w:w="421" w:type="pct"/>
            <w:tcBorders>
              <w:top w:val="single" w:sz="4" w:space="0" w:color="auto"/>
              <w:left w:val="nil"/>
              <w:bottom w:val="single" w:sz="4" w:space="0" w:color="auto"/>
              <w:right w:val="nil"/>
            </w:tcBorders>
            <w:shd w:val="clear" w:color="auto" w:fill="auto"/>
            <w:vAlign w:val="center"/>
            <w:hideMark/>
          </w:tcPr>
          <w:p w:rsidR="002F22AC" w:rsidRDefault="002F22AC">
            <w:pPr>
              <w:jc w:val="right"/>
              <w:rPr>
                <w:rFonts w:ascii="Arial Narrow" w:hAnsi="Arial Narrow" w:cs="Calibri"/>
                <w:color w:val="000000"/>
                <w:sz w:val="18"/>
                <w:szCs w:val="18"/>
              </w:rPr>
            </w:pPr>
            <w:r>
              <w:rPr>
                <w:rFonts w:ascii="Arial Narrow" w:hAnsi="Arial Narrow" w:cs="Calibri"/>
                <w:color w:val="000000"/>
                <w:sz w:val="18"/>
                <w:szCs w:val="18"/>
              </w:rPr>
              <w:t>12,9</w:t>
            </w:r>
          </w:p>
        </w:tc>
        <w:tc>
          <w:tcPr>
            <w:tcW w:w="454" w:type="pct"/>
            <w:tcBorders>
              <w:top w:val="single" w:sz="4" w:space="0" w:color="auto"/>
              <w:left w:val="nil"/>
              <w:bottom w:val="single" w:sz="4" w:space="0" w:color="auto"/>
              <w:right w:val="nil"/>
            </w:tcBorders>
            <w:shd w:val="clear" w:color="000000" w:fill="D9D9D9"/>
            <w:vAlign w:val="center"/>
            <w:hideMark/>
          </w:tcPr>
          <w:p w:rsidR="002F22AC" w:rsidRDefault="002F22AC">
            <w:pPr>
              <w:jc w:val="right"/>
              <w:rPr>
                <w:rFonts w:ascii="Arial Narrow" w:hAnsi="Arial Narrow" w:cs="Calibri"/>
                <w:color w:val="000000"/>
                <w:sz w:val="18"/>
                <w:szCs w:val="18"/>
              </w:rPr>
            </w:pPr>
            <w:r>
              <w:rPr>
                <w:rFonts w:ascii="Arial Narrow" w:hAnsi="Arial Narrow" w:cs="Calibri"/>
                <w:color w:val="000000"/>
                <w:sz w:val="18"/>
                <w:szCs w:val="18"/>
              </w:rPr>
              <w:t>16,4</w:t>
            </w:r>
          </w:p>
        </w:tc>
        <w:tc>
          <w:tcPr>
            <w:tcW w:w="382" w:type="pct"/>
            <w:tcBorders>
              <w:top w:val="single" w:sz="4" w:space="0" w:color="auto"/>
              <w:left w:val="nil"/>
              <w:bottom w:val="single" w:sz="4" w:space="0" w:color="auto"/>
              <w:right w:val="nil"/>
            </w:tcBorders>
            <w:shd w:val="clear" w:color="auto" w:fill="auto"/>
            <w:vAlign w:val="center"/>
            <w:hideMark/>
          </w:tcPr>
          <w:p w:rsidR="002F22AC" w:rsidRDefault="002F22AC">
            <w:pPr>
              <w:jc w:val="right"/>
              <w:rPr>
                <w:rFonts w:ascii="Arial Narrow" w:hAnsi="Arial Narrow" w:cs="Calibri"/>
                <w:color w:val="000000"/>
                <w:sz w:val="18"/>
                <w:szCs w:val="18"/>
              </w:rPr>
            </w:pPr>
            <w:r>
              <w:rPr>
                <w:rFonts w:ascii="Arial Narrow" w:hAnsi="Arial Narrow" w:cs="Calibri"/>
                <w:color w:val="000000"/>
                <w:sz w:val="18"/>
                <w:szCs w:val="18"/>
              </w:rPr>
              <w:t>14,4</w:t>
            </w:r>
          </w:p>
        </w:tc>
        <w:tc>
          <w:tcPr>
            <w:tcW w:w="421" w:type="pct"/>
            <w:tcBorders>
              <w:top w:val="single" w:sz="4" w:space="0" w:color="auto"/>
              <w:left w:val="nil"/>
              <w:bottom w:val="single" w:sz="4" w:space="0" w:color="auto"/>
              <w:right w:val="nil"/>
            </w:tcBorders>
            <w:shd w:val="clear" w:color="000000" w:fill="D9D9D9"/>
            <w:vAlign w:val="center"/>
            <w:hideMark/>
          </w:tcPr>
          <w:p w:rsidR="002F22AC" w:rsidRDefault="002F22AC">
            <w:pPr>
              <w:jc w:val="right"/>
              <w:rPr>
                <w:rFonts w:ascii="Arial Narrow" w:hAnsi="Arial Narrow" w:cs="Calibri"/>
                <w:color w:val="000000"/>
                <w:sz w:val="18"/>
                <w:szCs w:val="18"/>
              </w:rPr>
            </w:pPr>
            <w:r>
              <w:rPr>
                <w:rFonts w:ascii="Arial Narrow" w:hAnsi="Arial Narrow" w:cs="Calibri"/>
                <w:color w:val="000000"/>
                <w:sz w:val="18"/>
                <w:szCs w:val="18"/>
              </w:rPr>
              <w:t>9,8</w:t>
            </w:r>
          </w:p>
        </w:tc>
        <w:tc>
          <w:tcPr>
            <w:tcW w:w="454" w:type="pct"/>
            <w:tcBorders>
              <w:top w:val="single" w:sz="4" w:space="0" w:color="auto"/>
              <w:left w:val="nil"/>
              <w:bottom w:val="single" w:sz="4" w:space="0" w:color="auto"/>
              <w:right w:val="nil"/>
            </w:tcBorders>
            <w:shd w:val="clear" w:color="auto" w:fill="auto"/>
            <w:noWrap/>
            <w:vAlign w:val="center"/>
            <w:hideMark/>
          </w:tcPr>
          <w:p w:rsidR="002F22AC" w:rsidRDefault="002F22AC">
            <w:pPr>
              <w:jc w:val="right"/>
              <w:rPr>
                <w:rFonts w:ascii="Arial Narrow" w:hAnsi="Arial Narrow" w:cs="Calibri"/>
                <w:color w:val="000000"/>
                <w:sz w:val="18"/>
                <w:szCs w:val="18"/>
              </w:rPr>
            </w:pPr>
            <w:r>
              <w:rPr>
                <w:rFonts w:ascii="Arial Narrow" w:hAnsi="Arial Narrow" w:cs="Calibri"/>
                <w:color w:val="000000"/>
                <w:sz w:val="18"/>
                <w:szCs w:val="18"/>
              </w:rPr>
              <w:t>13,6</w:t>
            </w:r>
          </w:p>
        </w:tc>
        <w:tc>
          <w:tcPr>
            <w:tcW w:w="421" w:type="pct"/>
            <w:tcBorders>
              <w:top w:val="single" w:sz="4" w:space="0" w:color="auto"/>
              <w:left w:val="nil"/>
              <w:bottom w:val="single" w:sz="4" w:space="0" w:color="auto"/>
              <w:right w:val="nil"/>
            </w:tcBorders>
            <w:shd w:val="clear" w:color="000000" w:fill="D9D9D9"/>
            <w:noWrap/>
            <w:vAlign w:val="center"/>
            <w:hideMark/>
          </w:tcPr>
          <w:p w:rsidR="002F22AC" w:rsidRDefault="002F22AC">
            <w:pPr>
              <w:jc w:val="right"/>
              <w:rPr>
                <w:rFonts w:ascii="Arial Narrow" w:hAnsi="Arial Narrow" w:cs="Calibri"/>
                <w:color w:val="000000"/>
                <w:sz w:val="18"/>
                <w:szCs w:val="18"/>
              </w:rPr>
            </w:pPr>
            <w:r>
              <w:rPr>
                <w:rFonts w:ascii="Arial Narrow" w:hAnsi="Arial Narrow" w:cs="Calibri"/>
                <w:color w:val="000000"/>
                <w:sz w:val="18"/>
                <w:szCs w:val="18"/>
              </w:rPr>
              <w:t>11,4</w:t>
            </w:r>
          </w:p>
        </w:tc>
      </w:tr>
    </w:tbl>
    <w:p w:rsidR="00A445FC" w:rsidRDefault="00C4145D" w:rsidP="00AD3457">
      <w:pPr>
        <w:spacing w:before="360" w:after="120"/>
        <w:jc w:val="both"/>
        <w:rPr>
          <w:rFonts w:ascii="Trebuchet MS" w:hAnsi="Trebuchet MS" w:cs="Arial"/>
          <w:color w:val="5F5F5F"/>
          <w:sz w:val="20"/>
          <w:szCs w:val="20"/>
        </w:rPr>
      </w:pPr>
      <w:r w:rsidRPr="00C4145D">
        <w:rPr>
          <w:rFonts w:ascii="Trebuchet MS" w:hAnsi="Trebuchet MS" w:cs="Arial"/>
          <w:color w:val="5F5F5F"/>
          <w:sz w:val="20"/>
          <w:szCs w:val="20"/>
        </w:rPr>
        <w:t xml:space="preserve">Nonostante la maggiore partecipazione delle donne </w:t>
      </w:r>
      <w:r>
        <w:rPr>
          <w:rFonts w:ascii="Trebuchet MS" w:hAnsi="Trebuchet MS" w:cs="Arial"/>
          <w:color w:val="5F5F5F"/>
          <w:sz w:val="20"/>
          <w:szCs w:val="20"/>
        </w:rPr>
        <w:t>luc</w:t>
      </w:r>
      <w:r w:rsidRPr="00C4145D">
        <w:rPr>
          <w:rFonts w:ascii="Trebuchet MS" w:hAnsi="Trebuchet MS" w:cs="Arial"/>
          <w:color w:val="5F5F5F"/>
          <w:sz w:val="20"/>
          <w:szCs w:val="20"/>
        </w:rPr>
        <w:t xml:space="preserve">ane al mercato del lavoro, testimoniata dall’aumento del </w:t>
      </w:r>
      <w:r w:rsidR="000D1B3E">
        <w:rPr>
          <w:rFonts w:ascii="Trebuchet MS" w:hAnsi="Trebuchet MS" w:cs="Arial"/>
          <w:color w:val="5F5F5F"/>
          <w:sz w:val="20"/>
          <w:szCs w:val="20"/>
        </w:rPr>
        <w:t>5,8</w:t>
      </w:r>
      <w:r w:rsidRPr="00C4145D">
        <w:rPr>
          <w:rFonts w:ascii="Trebuchet MS" w:hAnsi="Trebuchet MS" w:cs="Arial"/>
          <w:color w:val="5F5F5F"/>
          <w:sz w:val="20"/>
          <w:szCs w:val="20"/>
        </w:rPr>
        <w:t>% del numero delle occupate, lo squilibrio di genere permane e assume valori più ampi rispetto alla media nazionale. Nel 2019, il gap di genere del tasso di attività (</w:t>
      </w:r>
      <w:r w:rsidR="000D1B3E">
        <w:rPr>
          <w:rFonts w:ascii="Trebuchet MS" w:hAnsi="Trebuchet MS" w:cs="Arial"/>
          <w:color w:val="5F5F5F"/>
          <w:sz w:val="20"/>
          <w:szCs w:val="20"/>
        </w:rPr>
        <w:t>40,1</w:t>
      </w:r>
      <w:r w:rsidRPr="00C4145D">
        <w:rPr>
          <w:rFonts w:ascii="Trebuchet MS" w:hAnsi="Trebuchet MS" w:cs="Arial"/>
          <w:color w:val="5F5F5F"/>
          <w:sz w:val="20"/>
          <w:szCs w:val="20"/>
        </w:rPr>
        <w:t xml:space="preserve">% per le donne e </w:t>
      </w:r>
      <w:r w:rsidR="000D1B3E">
        <w:rPr>
          <w:rFonts w:ascii="Trebuchet MS" w:hAnsi="Trebuchet MS" w:cs="Arial"/>
          <w:color w:val="5F5F5F"/>
          <w:sz w:val="20"/>
          <w:szCs w:val="20"/>
        </w:rPr>
        <w:t>60,0</w:t>
      </w:r>
      <w:r w:rsidRPr="00C4145D">
        <w:rPr>
          <w:rFonts w:ascii="Trebuchet MS" w:hAnsi="Trebuchet MS" w:cs="Arial"/>
          <w:color w:val="5F5F5F"/>
          <w:sz w:val="20"/>
          <w:szCs w:val="20"/>
        </w:rPr>
        <w:t>% per gli uomini) è di 2</w:t>
      </w:r>
      <w:r w:rsidR="000D1B3E">
        <w:rPr>
          <w:rFonts w:ascii="Trebuchet MS" w:hAnsi="Trebuchet MS" w:cs="Arial"/>
          <w:color w:val="5F5F5F"/>
          <w:sz w:val="20"/>
          <w:szCs w:val="20"/>
        </w:rPr>
        <w:t>0</w:t>
      </w:r>
      <w:r w:rsidRPr="00C4145D">
        <w:rPr>
          <w:rFonts w:ascii="Trebuchet MS" w:hAnsi="Trebuchet MS" w:cs="Arial"/>
          <w:color w:val="5F5F5F"/>
          <w:sz w:val="20"/>
          <w:szCs w:val="20"/>
        </w:rPr>
        <w:t xml:space="preserve"> punti</w:t>
      </w:r>
      <w:r w:rsidR="00062B20">
        <w:rPr>
          <w:rFonts w:ascii="Trebuchet MS" w:hAnsi="Trebuchet MS" w:cs="Arial"/>
          <w:color w:val="5F5F5F"/>
          <w:sz w:val="20"/>
          <w:szCs w:val="20"/>
        </w:rPr>
        <w:t>,</w:t>
      </w:r>
      <w:r w:rsidR="000D1B3E">
        <w:rPr>
          <w:rFonts w:ascii="Trebuchet MS" w:hAnsi="Trebuchet MS" w:cs="Arial"/>
          <w:color w:val="5F5F5F"/>
          <w:sz w:val="20"/>
          <w:szCs w:val="20"/>
        </w:rPr>
        <w:t xml:space="preserve"> come</w:t>
      </w:r>
      <w:r w:rsidRPr="00C4145D">
        <w:rPr>
          <w:rFonts w:ascii="Trebuchet MS" w:hAnsi="Trebuchet MS" w:cs="Arial"/>
          <w:color w:val="5F5F5F"/>
          <w:sz w:val="20"/>
          <w:szCs w:val="20"/>
        </w:rPr>
        <w:t xml:space="preserve"> la distanza tra il tasso di occupazione delle donne (</w:t>
      </w:r>
      <w:r w:rsidR="000D1B3E">
        <w:rPr>
          <w:rFonts w:ascii="Trebuchet MS" w:hAnsi="Trebuchet MS" w:cs="Arial"/>
          <w:color w:val="5F5F5F"/>
          <w:sz w:val="20"/>
          <w:szCs w:val="20"/>
        </w:rPr>
        <w:t>31,9</w:t>
      </w:r>
      <w:r w:rsidRPr="00C4145D">
        <w:rPr>
          <w:rFonts w:ascii="Trebuchet MS" w:hAnsi="Trebuchet MS" w:cs="Arial"/>
          <w:color w:val="5F5F5F"/>
          <w:sz w:val="20"/>
          <w:szCs w:val="20"/>
        </w:rPr>
        <w:t>%) e quello degli uomini (</w:t>
      </w:r>
      <w:r w:rsidR="000D1B3E">
        <w:rPr>
          <w:rFonts w:ascii="Trebuchet MS" w:hAnsi="Trebuchet MS" w:cs="Arial"/>
          <w:color w:val="5F5F5F"/>
          <w:sz w:val="20"/>
          <w:szCs w:val="20"/>
        </w:rPr>
        <w:t>51,4</w:t>
      </w:r>
      <w:r w:rsidRPr="00C4145D">
        <w:rPr>
          <w:rFonts w:ascii="Trebuchet MS" w:hAnsi="Trebuchet MS" w:cs="Arial"/>
          <w:color w:val="5F5F5F"/>
          <w:sz w:val="20"/>
          <w:szCs w:val="20"/>
        </w:rPr>
        <w:t>%)</w:t>
      </w:r>
      <w:r w:rsidR="00062B20">
        <w:rPr>
          <w:rFonts w:ascii="Trebuchet MS" w:hAnsi="Trebuchet MS" w:cs="Arial"/>
          <w:color w:val="5F5F5F"/>
          <w:sz w:val="20"/>
          <w:szCs w:val="20"/>
        </w:rPr>
        <w:t>;</w:t>
      </w:r>
      <w:r w:rsidRPr="00C4145D">
        <w:rPr>
          <w:rFonts w:ascii="Trebuchet MS" w:hAnsi="Trebuchet MS" w:cs="Arial"/>
          <w:color w:val="5F5F5F"/>
          <w:sz w:val="20"/>
          <w:szCs w:val="20"/>
        </w:rPr>
        <w:t xml:space="preserve"> il tasso di disoccupazione delle donne (2</w:t>
      </w:r>
      <w:r w:rsidR="000D1B3E">
        <w:rPr>
          <w:rFonts w:ascii="Trebuchet MS" w:hAnsi="Trebuchet MS" w:cs="Arial"/>
          <w:color w:val="5F5F5F"/>
          <w:sz w:val="20"/>
          <w:szCs w:val="20"/>
        </w:rPr>
        <w:t>0,</w:t>
      </w:r>
      <w:r w:rsidRPr="00C4145D">
        <w:rPr>
          <w:rFonts w:ascii="Trebuchet MS" w:hAnsi="Trebuchet MS" w:cs="Arial"/>
          <w:color w:val="5F5F5F"/>
          <w:sz w:val="20"/>
          <w:szCs w:val="20"/>
        </w:rPr>
        <w:t>5%) supera di se</w:t>
      </w:r>
      <w:r w:rsidR="000D1B3E">
        <w:rPr>
          <w:rFonts w:ascii="Trebuchet MS" w:hAnsi="Trebuchet MS" w:cs="Arial"/>
          <w:color w:val="5F5F5F"/>
          <w:sz w:val="20"/>
          <w:szCs w:val="20"/>
        </w:rPr>
        <w:t>i</w:t>
      </w:r>
      <w:r w:rsidRPr="00C4145D">
        <w:rPr>
          <w:rFonts w:ascii="Trebuchet MS" w:hAnsi="Trebuchet MS" w:cs="Arial"/>
          <w:color w:val="5F5F5F"/>
          <w:sz w:val="20"/>
          <w:szCs w:val="20"/>
        </w:rPr>
        <w:t xml:space="preserve"> punti </w:t>
      </w:r>
      <w:r w:rsidR="00062B20">
        <w:rPr>
          <w:rFonts w:ascii="Trebuchet MS" w:hAnsi="Trebuchet MS" w:cs="Arial"/>
          <w:color w:val="5F5F5F"/>
          <w:sz w:val="20"/>
          <w:szCs w:val="20"/>
        </w:rPr>
        <w:t>quello</w:t>
      </w:r>
      <w:r w:rsidRPr="00C4145D">
        <w:rPr>
          <w:rFonts w:ascii="Trebuchet MS" w:hAnsi="Trebuchet MS" w:cs="Arial"/>
          <w:color w:val="5F5F5F"/>
          <w:sz w:val="20"/>
          <w:szCs w:val="20"/>
        </w:rPr>
        <w:t xml:space="preserve"> dei maschi (</w:t>
      </w:r>
      <w:r w:rsidR="000D1B3E">
        <w:rPr>
          <w:rFonts w:ascii="Trebuchet MS" w:hAnsi="Trebuchet MS" w:cs="Arial"/>
          <w:color w:val="5F5F5F"/>
          <w:sz w:val="20"/>
          <w:szCs w:val="20"/>
        </w:rPr>
        <w:t>14,3</w:t>
      </w:r>
      <w:r w:rsidRPr="00C4145D">
        <w:rPr>
          <w:rFonts w:ascii="Trebuchet MS" w:hAnsi="Trebuchet MS" w:cs="Arial"/>
          <w:color w:val="5F5F5F"/>
          <w:sz w:val="20"/>
          <w:szCs w:val="20"/>
        </w:rPr>
        <w:t>%). A livello nazionale, il gap di genere è di 17 punti sia per il tasso di attività che per quello di occupazione e si ferma a quattro punti per il tasso di disoccupazione.</w:t>
      </w:r>
    </w:p>
    <w:p w:rsidR="00D531E0" w:rsidRPr="00710C34" w:rsidRDefault="00D531E0" w:rsidP="00E072ED">
      <w:pPr>
        <w:spacing w:before="240" w:after="60"/>
        <w:rPr>
          <w:rFonts w:ascii="Arial Narrow" w:hAnsi="Arial Narrow"/>
          <w:color w:val="595959" w:themeColor="text1" w:themeTint="A6"/>
          <w:sz w:val="22"/>
          <w:szCs w:val="22"/>
        </w:rPr>
      </w:pPr>
      <w:r w:rsidRPr="00710C34">
        <w:rPr>
          <w:rFonts w:ascii="Arial Narrow" w:hAnsi="Arial Narrow"/>
          <w:b/>
          <w:bCs/>
          <w:color w:val="595959" w:themeColor="text1" w:themeTint="A6"/>
          <w:sz w:val="22"/>
          <w:szCs w:val="22"/>
        </w:rPr>
        <w:t>FIGURA 1</w:t>
      </w:r>
      <w:r w:rsidR="00A93CA6" w:rsidRPr="00710C34">
        <w:rPr>
          <w:rFonts w:ascii="Arial Narrow" w:hAnsi="Arial Narrow"/>
          <w:b/>
          <w:bCs/>
          <w:color w:val="595959" w:themeColor="text1" w:themeTint="A6"/>
          <w:sz w:val="22"/>
          <w:szCs w:val="22"/>
        </w:rPr>
        <w:t>2</w:t>
      </w:r>
      <w:r w:rsidRPr="00710C34">
        <w:rPr>
          <w:rFonts w:ascii="Arial Narrow" w:hAnsi="Arial Narrow"/>
          <w:b/>
          <w:bCs/>
          <w:color w:val="595959" w:themeColor="text1" w:themeTint="A6"/>
          <w:sz w:val="22"/>
          <w:szCs w:val="22"/>
        </w:rPr>
        <w:t xml:space="preserve">. </w:t>
      </w:r>
      <w:r w:rsidRPr="00710C34">
        <w:rPr>
          <w:rFonts w:ascii="Arial Narrow" w:hAnsi="Arial Narrow"/>
          <w:color w:val="595959" w:themeColor="text1" w:themeTint="A6"/>
          <w:sz w:val="22"/>
          <w:szCs w:val="22"/>
        </w:rPr>
        <w:t>DIFFERENZIALI DI GENERE NEL MERCATO DEL LAVORO</w:t>
      </w:r>
      <w:r w:rsidR="00935B9F" w:rsidRPr="00361C95">
        <w:rPr>
          <w:rStyle w:val="Rimandonotaapidipagina"/>
          <w:rFonts w:ascii="Arial Narrow" w:hAnsi="Arial Narrow"/>
          <w:color w:val="595959" w:themeColor="text1" w:themeTint="A6"/>
          <w:sz w:val="22"/>
          <w:szCs w:val="22"/>
        </w:rPr>
        <w:footnoteReference w:id="9"/>
      </w:r>
      <w:r w:rsidRPr="00710C34">
        <w:rPr>
          <w:rFonts w:ascii="Arial Narrow" w:hAnsi="Arial Narrow"/>
          <w:color w:val="595959" w:themeColor="text1" w:themeTint="A6"/>
          <w:sz w:val="22"/>
          <w:szCs w:val="22"/>
        </w:rPr>
        <w:t xml:space="preserve">, </w:t>
      </w:r>
      <w:r w:rsidR="002F22AC">
        <w:rPr>
          <w:rFonts w:ascii="Arial Narrow" w:hAnsi="Arial Narrow"/>
          <w:color w:val="595959" w:themeColor="text1" w:themeTint="A6"/>
          <w:sz w:val="22"/>
          <w:szCs w:val="22"/>
        </w:rPr>
        <w:t>BASILICATA</w:t>
      </w:r>
      <w:r w:rsidRPr="00710C34">
        <w:rPr>
          <w:rFonts w:ascii="Arial Narrow" w:hAnsi="Arial Narrow"/>
          <w:color w:val="595959" w:themeColor="text1" w:themeTint="A6"/>
          <w:sz w:val="22"/>
          <w:szCs w:val="22"/>
        </w:rPr>
        <w:t xml:space="preserve">E ITALIA. </w:t>
      </w:r>
      <w:r w:rsidRPr="004F2FB1">
        <w:rPr>
          <w:rFonts w:ascii="Arial Narrow" w:hAnsi="Arial Narrow"/>
          <w:color w:val="595959" w:themeColor="text1" w:themeTint="A6"/>
          <w:sz w:val="20"/>
          <w:szCs w:val="20"/>
        </w:rPr>
        <w:t>Censimento 2019</w:t>
      </w:r>
    </w:p>
    <w:p w:rsidR="00D531E0" w:rsidRDefault="002F22AC" w:rsidP="00D531E0">
      <w:pPr>
        <w:rPr>
          <w:rFonts w:ascii="Arial Narrow" w:hAnsi="Arial Narrow"/>
          <w:color w:val="727272"/>
          <w:sz w:val="22"/>
          <w:szCs w:val="22"/>
        </w:rPr>
      </w:pPr>
      <w:r>
        <w:rPr>
          <w:noProof/>
        </w:rPr>
        <w:drawing>
          <wp:inline distT="0" distB="0" distL="0" distR="0">
            <wp:extent cx="6120000" cy="2160000"/>
            <wp:effectExtent l="0" t="0" r="14605" b="12065"/>
            <wp:docPr id="31" name="Grafico 3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1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B7ED5" w:rsidRDefault="00C963FA" w:rsidP="004F2FB1">
      <w:pPr>
        <w:spacing w:before="360" w:after="120"/>
        <w:jc w:val="both"/>
        <w:rPr>
          <w:rFonts w:ascii="Trebuchet MS" w:hAnsi="Trebuchet MS" w:cs="Arial"/>
          <w:color w:val="5F5F5F"/>
          <w:sz w:val="20"/>
          <w:szCs w:val="20"/>
        </w:rPr>
      </w:pPr>
      <w:r w:rsidRPr="008A40B9">
        <w:rPr>
          <w:rFonts w:ascii="Trebuchet MS" w:hAnsi="Trebuchet MS" w:cs="Arial"/>
          <w:color w:val="5F5F5F"/>
          <w:sz w:val="20"/>
          <w:szCs w:val="20"/>
        </w:rPr>
        <w:t>I</w:t>
      </w:r>
      <w:r w:rsidR="00AB2B3C">
        <w:rPr>
          <w:rFonts w:ascii="Trebuchet MS" w:hAnsi="Trebuchet MS" w:cs="Arial"/>
          <w:color w:val="5F5F5F"/>
          <w:sz w:val="20"/>
          <w:szCs w:val="20"/>
        </w:rPr>
        <w:t>l tasso di disoccupazione totale e quello dei maschi sono leggermente più elevati i</w:t>
      </w:r>
      <w:r w:rsidRPr="008A40B9">
        <w:rPr>
          <w:rFonts w:ascii="Trebuchet MS" w:hAnsi="Trebuchet MS" w:cs="Arial"/>
          <w:color w:val="5F5F5F"/>
          <w:sz w:val="20"/>
          <w:szCs w:val="20"/>
        </w:rPr>
        <w:t xml:space="preserve">n </w:t>
      </w:r>
      <w:r w:rsidR="00D531E0" w:rsidRPr="008A40B9">
        <w:rPr>
          <w:rFonts w:ascii="Trebuchet MS" w:hAnsi="Trebuchet MS" w:cs="Arial"/>
          <w:color w:val="5F5F5F"/>
          <w:sz w:val="20"/>
          <w:szCs w:val="20"/>
        </w:rPr>
        <w:t>provinc</w:t>
      </w:r>
      <w:r w:rsidR="000D1B3E" w:rsidRPr="008A40B9">
        <w:rPr>
          <w:rFonts w:ascii="Trebuchet MS" w:hAnsi="Trebuchet MS" w:cs="Arial"/>
          <w:color w:val="5F5F5F"/>
          <w:sz w:val="20"/>
          <w:szCs w:val="20"/>
        </w:rPr>
        <w:t xml:space="preserve">ia di Potenza </w:t>
      </w:r>
      <w:r w:rsidRPr="008A40B9">
        <w:rPr>
          <w:rFonts w:ascii="Trebuchet MS" w:hAnsi="Trebuchet MS" w:cs="Arial"/>
          <w:color w:val="5F5F5F"/>
          <w:sz w:val="20"/>
          <w:szCs w:val="20"/>
        </w:rPr>
        <w:t xml:space="preserve">(il </w:t>
      </w:r>
      <w:r w:rsidR="00AB2B3C">
        <w:rPr>
          <w:rFonts w:ascii="Trebuchet MS" w:hAnsi="Trebuchet MS" w:cs="Arial"/>
          <w:color w:val="5F5F5F"/>
          <w:sz w:val="20"/>
          <w:szCs w:val="20"/>
        </w:rPr>
        <w:t>primo</w:t>
      </w:r>
      <w:r w:rsidRPr="008A40B9">
        <w:rPr>
          <w:rFonts w:ascii="Trebuchet MS" w:hAnsi="Trebuchet MS" w:cs="Arial"/>
          <w:color w:val="5F5F5F"/>
          <w:sz w:val="20"/>
          <w:szCs w:val="20"/>
        </w:rPr>
        <w:t xml:space="preserve"> è </w:t>
      </w:r>
      <w:r w:rsidR="00AB2B3C">
        <w:rPr>
          <w:rFonts w:ascii="Trebuchet MS" w:hAnsi="Trebuchet MS" w:cs="Arial"/>
          <w:color w:val="5F5F5F"/>
          <w:sz w:val="20"/>
          <w:szCs w:val="20"/>
        </w:rPr>
        <w:t>pari al</w:t>
      </w:r>
      <w:r w:rsidRPr="008A40B9">
        <w:rPr>
          <w:rFonts w:ascii="Trebuchet MS" w:hAnsi="Trebuchet MS" w:cs="Arial"/>
          <w:color w:val="5F5F5F"/>
          <w:sz w:val="20"/>
          <w:szCs w:val="20"/>
        </w:rPr>
        <w:t xml:space="preserve"> 41,7% a Potenza e </w:t>
      </w:r>
      <w:r w:rsidR="00AB2B3C">
        <w:rPr>
          <w:rFonts w:ascii="Trebuchet MS" w:hAnsi="Trebuchet MS" w:cs="Arial"/>
          <w:color w:val="5F5F5F"/>
          <w:sz w:val="20"/>
          <w:szCs w:val="20"/>
        </w:rPr>
        <w:t>al</w:t>
      </w:r>
      <w:r w:rsidRPr="008A40B9">
        <w:rPr>
          <w:rFonts w:ascii="Trebuchet MS" w:hAnsi="Trebuchet MS" w:cs="Arial"/>
          <w:color w:val="5F5F5F"/>
          <w:sz w:val="20"/>
          <w:szCs w:val="20"/>
        </w:rPr>
        <w:t xml:space="preserve"> 41,0%</w:t>
      </w:r>
      <w:r w:rsidR="00AB2B3C">
        <w:rPr>
          <w:rFonts w:ascii="Trebuchet MS" w:hAnsi="Trebuchet MS" w:cs="Arial"/>
          <w:color w:val="5F5F5F"/>
          <w:sz w:val="20"/>
          <w:szCs w:val="20"/>
        </w:rPr>
        <w:t xml:space="preserve"> a Matera</w:t>
      </w:r>
      <w:r w:rsidRPr="008A40B9">
        <w:rPr>
          <w:rFonts w:ascii="Trebuchet MS" w:hAnsi="Trebuchet MS" w:cs="Arial"/>
          <w:color w:val="5F5F5F"/>
          <w:sz w:val="20"/>
          <w:szCs w:val="20"/>
        </w:rPr>
        <w:t xml:space="preserve">; il </w:t>
      </w:r>
      <w:r w:rsidR="00AB2B3C">
        <w:rPr>
          <w:rFonts w:ascii="Trebuchet MS" w:hAnsi="Trebuchet MS" w:cs="Arial"/>
          <w:color w:val="5F5F5F"/>
          <w:sz w:val="20"/>
          <w:szCs w:val="20"/>
        </w:rPr>
        <w:t>secondo a</w:t>
      </w:r>
      <w:r w:rsidRPr="008A40B9">
        <w:rPr>
          <w:rFonts w:ascii="Trebuchet MS" w:hAnsi="Trebuchet MS" w:cs="Arial"/>
          <w:color w:val="5F5F5F"/>
          <w:sz w:val="20"/>
          <w:szCs w:val="20"/>
        </w:rPr>
        <w:t xml:space="preserve"> 51,8% </w:t>
      </w:r>
      <w:r w:rsidR="00AB2B3C">
        <w:rPr>
          <w:rFonts w:ascii="Trebuchet MS" w:hAnsi="Trebuchet MS" w:cs="Arial"/>
          <w:color w:val="5F5F5F"/>
          <w:sz w:val="20"/>
          <w:szCs w:val="20"/>
        </w:rPr>
        <w:t>e</w:t>
      </w:r>
      <w:r w:rsidRPr="008A40B9">
        <w:rPr>
          <w:rFonts w:ascii="Trebuchet MS" w:hAnsi="Trebuchet MS" w:cs="Arial"/>
          <w:color w:val="5F5F5F"/>
          <w:sz w:val="20"/>
          <w:szCs w:val="20"/>
        </w:rPr>
        <w:t xml:space="preserve"> 50,7%)</w:t>
      </w:r>
      <w:r w:rsidR="00AB2B3C">
        <w:rPr>
          <w:rFonts w:ascii="Trebuchet MS" w:hAnsi="Trebuchet MS" w:cs="Arial"/>
          <w:color w:val="5F5F5F"/>
          <w:sz w:val="20"/>
          <w:szCs w:val="20"/>
        </w:rPr>
        <w:t xml:space="preserve">; per le donne Matera supera Potenza di pochi decimi (32,2% contro 31,7%). </w:t>
      </w:r>
      <w:r w:rsidR="008A40B9" w:rsidRPr="008A40B9">
        <w:rPr>
          <w:rFonts w:ascii="Trebuchet MS" w:hAnsi="Trebuchet MS" w:cs="Arial"/>
          <w:color w:val="5F5F5F"/>
          <w:sz w:val="20"/>
          <w:szCs w:val="20"/>
        </w:rPr>
        <w:t xml:space="preserve">I livelli di disoccupazione, sia in complesso che per sesso, sono più elevati a Matera; il tasso di disoccupazione totale è pari al 18,0% </w:t>
      </w:r>
      <w:r w:rsidR="00062B20">
        <w:rPr>
          <w:rFonts w:ascii="Trebuchet MS" w:hAnsi="Trebuchet MS" w:cs="Arial"/>
          <w:color w:val="5F5F5F"/>
          <w:sz w:val="20"/>
          <w:szCs w:val="20"/>
        </w:rPr>
        <w:t xml:space="preserve">a Matera </w:t>
      </w:r>
      <w:r w:rsidR="00283393">
        <w:rPr>
          <w:rFonts w:ascii="Trebuchet MS" w:hAnsi="Trebuchet MS" w:cs="Arial"/>
          <w:color w:val="5F5F5F"/>
          <w:sz w:val="20"/>
          <w:szCs w:val="20"/>
        </w:rPr>
        <w:t>e al</w:t>
      </w:r>
      <w:r w:rsidR="008A40B9" w:rsidRPr="008A40B9">
        <w:rPr>
          <w:rFonts w:ascii="Trebuchet MS" w:hAnsi="Trebuchet MS" w:cs="Arial"/>
          <w:color w:val="5F5F5F"/>
          <w:sz w:val="20"/>
          <w:szCs w:val="20"/>
        </w:rPr>
        <w:t xml:space="preserve">16,2% </w:t>
      </w:r>
      <w:r w:rsidR="00062B20">
        <w:rPr>
          <w:rFonts w:ascii="Trebuchet MS" w:hAnsi="Trebuchet MS" w:cs="Arial"/>
          <w:color w:val="5F5F5F"/>
          <w:sz w:val="20"/>
          <w:szCs w:val="20"/>
        </w:rPr>
        <w:t>a</w:t>
      </w:r>
      <w:r w:rsidR="008A40B9" w:rsidRPr="008A40B9">
        <w:rPr>
          <w:rFonts w:ascii="Trebuchet MS" w:hAnsi="Trebuchet MS" w:cs="Arial"/>
          <w:color w:val="5F5F5F"/>
          <w:sz w:val="20"/>
          <w:szCs w:val="20"/>
        </w:rPr>
        <w:t xml:space="preserve"> Potenza, </w:t>
      </w:r>
      <w:r w:rsidR="00062B20">
        <w:rPr>
          <w:rFonts w:ascii="Trebuchet MS" w:hAnsi="Trebuchet MS" w:cs="Arial"/>
          <w:color w:val="5F5F5F"/>
          <w:sz w:val="20"/>
          <w:szCs w:val="20"/>
        </w:rPr>
        <w:t xml:space="preserve">i corrispondenti valori per i maschi sono </w:t>
      </w:r>
      <w:r w:rsidR="008A40B9" w:rsidRPr="008A40B9">
        <w:rPr>
          <w:rFonts w:ascii="Trebuchet MS" w:hAnsi="Trebuchet MS" w:cs="Arial"/>
          <w:color w:val="5F5F5F"/>
          <w:sz w:val="20"/>
          <w:szCs w:val="20"/>
        </w:rPr>
        <w:t>15,9% e 13,4% a Potenza</w:t>
      </w:r>
      <w:r w:rsidR="00062B20">
        <w:rPr>
          <w:rFonts w:ascii="Trebuchet MS" w:hAnsi="Trebuchet MS" w:cs="Arial"/>
          <w:color w:val="5F5F5F"/>
          <w:sz w:val="20"/>
          <w:szCs w:val="20"/>
        </w:rPr>
        <w:t>, per le donne 21,0% e 20,2%</w:t>
      </w:r>
      <w:r w:rsidR="008A40B9" w:rsidRPr="008A40B9">
        <w:rPr>
          <w:rFonts w:ascii="Trebuchet MS" w:hAnsi="Trebuchet MS" w:cs="Arial"/>
          <w:color w:val="5F5F5F"/>
          <w:sz w:val="20"/>
          <w:szCs w:val="20"/>
        </w:rPr>
        <w:t xml:space="preserve">. </w:t>
      </w:r>
    </w:p>
    <w:p w:rsidR="0000403D" w:rsidRDefault="0000403D" w:rsidP="0000403D">
      <w:pPr>
        <w:spacing w:after="120"/>
        <w:jc w:val="both"/>
        <w:rPr>
          <w:rFonts w:ascii="Arial Narrow" w:hAnsi="Arial Narrow"/>
          <w:b/>
          <w:bCs/>
          <w:color w:val="595959" w:themeColor="text1" w:themeTint="A6"/>
          <w:sz w:val="22"/>
          <w:szCs w:val="22"/>
        </w:rPr>
      </w:pPr>
    </w:p>
    <w:p w:rsidR="00710C34" w:rsidRPr="00710C34" w:rsidRDefault="00D531E0" w:rsidP="00E072ED">
      <w:pPr>
        <w:keepNext/>
        <w:keepLines/>
        <w:spacing w:before="240" w:after="60"/>
        <w:rPr>
          <w:rFonts w:ascii="Arial" w:hAnsi="Arial" w:cs="Arial"/>
          <w:iCs/>
          <w:color w:val="595959" w:themeColor="text1" w:themeTint="A6"/>
          <w:sz w:val="20"/>
          <w:szCs w:val="20"/>
        </w:rPr>
      </w:pPr>
      <w:r w:rsidRPr="00710C34">
        <w:rPr>
          <w:rFonts w:ascii="Arial Narrow" w:hAnsi="Arial Narrow"/>
          <w:b/>
          <w:bCs/>
          <w:color w:val="595959" w:themeColor="text1" w:themeTint="A6"/>
          <w:sz w:val="22"/>
          <w:szCs w:val="22"/>
        </w:rPr>
        <w:t>PROSPETTO 12.</w:t>
      </w:r>
      <w:r w:rsidRPr="00710C34">
        <w:rPr>
          <w:rFonts w:ascii="Arial Narrow" w:hAnsi="Arial Narrow"/>
          <w:color w:val="595959" w:themeColor="text1" w:themeTint="A6"/>
          <w:sz w:val="22"/>
          <w:szCs w:val="22"/>
        </w:rPr>
        <w:t>INDICATORI DEL MERCATO DEL LAVORO</w:t>
      </w:r>
      <w:r w:rsidR="0006580F" w:rsidRPr="00361C95">
        <w:rPr>
          <w:rStyle w:val="Rimandonotaapidipagina"/>
          <w:rFonts w:ascii="Arial Narrow" w:hAnsi="Arial Narrow"/>
          <w:color w:val="595959" w:themeColor="text1" w:themeTint="A6"/>
          <w:sz w:val="22"/>
          <w:szCs w:val="22"/>
        </w:rPr>
        <w:footnoteReference w:id="10"/>
      </w:r>
      <w:r w:rsidRPr="00710C34">
        <w:rPr>
          <w:rFonts w:ascii="Arial Narrow" w:hAnsi="Arial Narrow"/>
          <w:color w:val="595959" w:themeColor="text1" w:themeTint="A6"/>
          <w:sz w:val="22"/>
          <w:szCs w:val="22"/>
        </w:rPr>
        <w:t xml:space="preserve"> PER PROVINCIA</w:t>
      </w:r>
      <w:r w:rsidRPr="00710C34">
        <w:rPr>
          <w:rFonts w:ascii="Arial Narrow" w:hAnsi="Arial Narrow"/>
          <w:color w:val="595959" w:themeColor="text1" w:themeTint="A6"/>
          <w:sz w:val="20"/>
          <w:szCs w:val="20"/>
        </w:rPr>
        <w:t>. Censimento 2019.</w:t>
      </w:r>
    </w:p>
    <w:tbl>
      <w:tblPr>
        <w:tblW w:w="5000" w:type="pct"/>
        <w:tblCellMar>
          <w:left w:w="70" w:type="dxa"/>
          <w:right w:w="70" w:type="dxa"/>
        </w:tblCellMar>
        <w:tblLook w:val="04A0"/>
      </w:tblPr>
      <w:tblGrid>
        <w:gridCol w:w="1254"/>
        <w:gridCol w:w="668"/>
        <w:gridCol w:w="1095"/>
        <w:gridCol w:w="1089"/>
        <w:gridCol w:w="947"/>
        <w:gridCol w:w="945"/>
        <w:gridCol w:w="939"/>
        <w:gridCol w:w="947"/>
        <w:gridCol w:w="947"/>
        <w:gridCol w:w="947"/>
      </w:tblGrid>
      <w:tr w:rsidR="00261A91" w:rsidTr="000A598D">
        <w:trPr>
          <w:trHeight w:val="255"/>
        </w:trPr>
        <w:tc>
          <w:tcPr>
            <w:tcW w:w="642" w:type="pct"/>
            <w:vMerge w:val="restart"/>
            <w:tcBorders>
              <w:top w:val="single" w:sz="4" w:space="0" w:color="auto"/>
              <w:left w:val="nil"/>
              <w:bottom w:val="single" w:sz="4" w:space="0" w:color="auto"/>
              <w:right w:val="nil"/>
            </w:tcBorders>
            <w:shd w:val="clear" w:color="auto" w:fill="auto"/>
            <w:noWrap/>
            <w:vAlign w:val="center"/>
            <w:hideMark/>
          </w:tcPr>
          <w:p w:rsidR="00261A91" w:rsidRDefault="00261A91">
            <w:pPr>
              <w:rPr>
                <w:rFonts w:ascii="Arial Narrow" w:hAnsi="Arial Narrow" w:cs="Calibri"/>
                <w:b/>
                <w:bCs/>
                <w:color w:val="000000"/>
                <w:sz w:val="18"/>
                <w:szCs w:val="18"/>
              </w:rPr>
            </w:pPr>
            <w:r>
              <w:rPr>
                <w:rFonts w:ascii="Arial Narrow" w:hAnsi="Arial Narrow" w:cs="Calibri"/>
                <w:b/>
                <w:bCs/>
                <w:color w:val="000000"/>
                <w:sz w:val="18"/>
                <w:szCs w:val="18"/>
              </w:rPr>
              <w:t>PROVINCE</w:t>
            </w:r>
          </w:p>
        </w:tc>
        <w:tc>
          <w:tcPr>
            <w:tcW w:w="1459" w:type="pct"/>
            <w:gridSpan w:val="3"/>
            <w:tcBorders>
              <w:top w:val="single" w:sz="4" w:space="0" w:color="auto"/>
              <w:left w:val="nil"/>
              <w:bottom w:val="single" w:sz="4" w:space="0" w:color="auto"/>
              <w:right w:val="nil"/>
            </w:tcBorders>
            <w:shd w:val="clear" w:color="000000" w:fill="D9D9D9"/>
            <w:vAlign w:val="center"/>
            <w:hideMark/>
          </w:tcPr>
          <w:p w:rsidR="00261A91" w:rsidRDefault="00261A91">
            <w:pPr>
              <w:jc w:val="center"/>
              <w:rPr>
                <w:rFonts w:ascii="Arial Narrow" w:hAnsi="Arial Narrow" w:cs="Calibri"/>
                <w:b/>
                <w:bCs/>
                <w:color w:val="000000"/>
                <w:sz w:val="18"/>
                <w:szCs w:val="18"/>
              </w:rPr>
            </w:pPr>
            <w:r>
              <w:rPr>
                <w:rFonts w:ascii="Arial Narrow" w:hAnsi="Arial Narrow" w:cs="Calibri"/>
                <w:b/>
                <w:bCs/>
                <w:color w:val="000000"/>
                <w:sz w:val="18"/>
                <w:szCs w:val="18"/>
              </w:rPr>
              <w:t>Tasso di attività</w:t>
            </w:r>
          </w:p>
        </w:tc>
        <w:tc>
          <w:tcPr>
            <w:tcW w:w="1447" w:type="pct"/>
            <w:gridSpan w:val="3"/>
            <w:tcBorders>
              <w:top w:val="single" w:sz="4" w:space="0" w:color="auto"/>
              <w:left w:val="nil"/>
              <w:bottom w:val="single" w:sz="4" w:space="0" w:color="auto"/>
              <w:right w:val="nil"/>
            </w:tcBorders>
            <w:shd w:val="clear" w:color="auto" w:fill="auto"/>
            <w:vAlign w:val="center"/>
            <w:hideMark/>
          </w:tcPr>
          <w:p w:rsidR="00261A91" w:rsidRDefault="00261A91">
            <w:pPr>
              <w:jc w:val="center"/>
              <w:rPr>
                <w:rFonts w:ascii="Arial Narrow" w:hAnsi="Arial Narrow" w:cs="Calibri"/>
                <w:b/>
                <w:bCs/>
                <w:color w:val="000000"/>
                <w:sz w:val="18"/>
                <w:szCs w:val="18"/>
              </w:rPr>
            </w:pPr>
            <w:r>
              <w:rPr>
                <w:rFonts w:ascii="Arial Narrow" w:hAnsi="Arial Narrow" w:cs="Calibri"/>
                <w:b/>
                <w:bCs/>
                <w:color w:val="000000"/>
                <w:sz w:val="18"/>
                <w:szCs w:val="18"/>
              </w:rPr>
              <w:t>Tasso di occupazione</w:t>
            </w:r>
          </w:p>
        </w:tc>
        <w:tc>
          <w:tcPr>
            <w:tcW w:w="1453" w:type="pct"/>
            <w:gridSpan w:val="3"/>
            <w:tcBorders>
              <w:top w:val="single" w:sz="4" w:space="0" w:color="auto"/>
              <w:left w:val="nil"/>
              <w:bottom w:val="single" w:sz="4" w:space="0" w:color="auto"/>
              <w:right w:val="nil"/>
            </w:tcBorders>
            <w:shd w:val="clear" w:color="000000" w:fill="D9D9D9"/>
            <w:vAlign w:val="center"/>
            <w:hideMark/>
          </w:tcPr>
          <w:p w:rsidR="00261A91" w:rsidRDefault="00261A91">
            <w:pPr>
              <w:jc w:val="center"/>
              <w:rPr>
                <w:rFonts w:ascii="Arial Narrow" w:hAnsi="Arial Narrow" w:cs="Calibri"/>
                <w:b/>
                <w:bCs/>
                <w:color w:val="000000"/>
                <w:sz w:val="18"/>
                <w:szCs w:val="18"/>
              </w:rPr>
            </w:pPr>
            <w:r>
              <w:rPr>
                <w:rFonts w:ascii="Arial Narrow" w:hAnsi="Arial Narrow" w:cs="Calibri"/>
                <w:b/>
                <w:bCs/>
                <w:color w:val="000000"/>
                <w:sz w:val="18"/>
                <w:szCs w:val="18"/>
              </w:rPr>
              <w:t xml:space="preserve">Tasso di </w:t>
            </w:r>
            <w:r w:rsidR="00D5536E">
              <w:rPr>
                <w:rFonts w:ascii="Arial Narrow" w:hAnsi="Arial Narrow" w:cs="Calibri"/>
                <w:b/>
                <w:bCs/>
                <w:color w:val="000000"/>
                <w:sz w:val="18"/>
                <w:szCs w:val="18"/>
              </w:rPr>
              <w:t>disoccupazione</w:t>
            </w:r>
          </w:p>
        </w:tc>
      </w:tr>
      <w:tr w:rsidR="00261A91" w:rsidTr="000A598D">
        <w:trPr>
          <w:trHeight w:val="255"/>
        </w:trPr>
        <w:tc>
          <w:tcPr>
            <w:tcW w:w="642" w:type="pct"/>
            <w:vMerge/>
            <w:tcBorders>
              <w:top w:val="single" w:sz="4" w:space="0" w:color="auto"/>
              <w:left w:val="nil"/>
              <w:bottom w:val="single" w:sz="4" w:space="0" w:color="auto"/>
              <w:right w:val="nil"/>
            </w:tcBorders>
            <w:vAlign w:val="center"/>
            <w:hideMark/>
          </w:tcPr>
          <w:p w:rsidR="00261A91" w:rsidRDefault="00261A91">
            <w:pPr>
              <w:rPr>
                <w:rFonts w:ascii="Arial Narrow" w:hAnsi="Arial Narrow" w:cs="Calibri"/>
                <w:b/>
                <w:bCs/>
                <w:color w:val="000000"/>
                <w:sz w:val="18"/>
                <w:szCs w:val="18"/>
              </w:rPr>
            </w:pPr>
          </w:p>
        </w:tc>
        <w:tc>
          <w:tcPr>
            <w:tcW w:w="342" w:type="pct"/>
            <w:tcBorders>
              <w:top w:val="single" w:sz="4" w:space="0" w:color="auto"/>
              <w:left w:val="nil"/>
              <w:bottom w:val="single" w:sz="4" w:space="0" w:color="auto"/>
              <w:right w:val="nil"/>
            </w:tcBorders>
            <w:shd w:val="clear" w:color="auto" w:fill="auto"/>
            <w:noWrap/>
            <w:vAlign w:val="center"/>
            <w:hideMark/>
          </w:tcPr>
          <w:p w:rsidR="00261A91" w:rsidRDefault="00261A91">
            <w:pPr>
              <w:jc w:val="right"/>
              <w:rPr>
                <w:rFonts w:ascii="Arial Narrow" w:hAnsi="Arial Narrow" w:cs="Calibri"/>
                <w:color w:val="000000"/>
                <w:sz w:val="18"/>
                <w:szCs w:val="18"/>
              </w:rPr>
            </w:pPr>
            <w:r>
              <w:rPr>
                <w:rFonts w:ascii="Arial Narrow" w:hAnsi="Arial Narrow" w:cs="Calibri"/>
                <w:color w:val="000000"/>
                <w:sz w:val="18"/>
                <w:szCs w:val="18"/>
              </w:rPr>
              <w:t>Maschi</w:t>
            </w:r>
          </w:p>
        </w:tc>
        <w:tc>
          <w:tcPr>
            <w:tcW w:w="560" w:type="pct"/>
            <w:tcBorders>
              <w:top w:val="single" w:sz="4" w:space="0" w:color="auto"/>
              <w:left w:val="nil"/>
              <w:bottom w:val="single" w:sz="4" w:space="0" w:color="auto"/>
              <w:right w:val="nil"/>
            </w:tcBorders>
            <w:shd w:val="clear" w:color="auto" w:fill="auto"/>
            <w:vAlign w:val="center"/>
            <w:hideMark/>
          </w:tcPr>
          <w:p w:rsidR="00261A91" w:rsidRDefault="00261A91">
            <w:pPr>
              <w:jc w:val="right"/>
              <w:rPr>
                <w:rFonts w:ascii="Arial Narrow" w:hAnsi="Arial Narrow" w:cs="Calibri"/>
                <w:color w:val="000000"/>
                <w:sz w:val="18"/>
                <w:szCs w:val="18"/>
              </w:rPr>
            </w:pPr>
            <w:r>
              <w:rPr>
                <w:rFonts w:ascii="Arial Narrow" w:hAnsi="Arial Narrow" w:cs="Calibri"/>
                <w:color w:val="000000"/>
                <w:sz w:val="18"/>
                <w:szCs w:val="18"/>
              </w:rPr>
              <w:t>Femmine</w:t>
            </w:r>
          </w:p>
        </w:tc>
        <w:tc>
          <w:tcPr>
            <w:tcW w:w="557" w:type="pct"/>
            <w:tcBorders>
              <w:top w:val="single" w:sz="4" w:space="0" w:color="auto"/>
              <w:left w:val="nil"/>
              <w:bottom w:val="single" w:sz="4" w:space="0" w:color="auto"/>
              <w:right w:val="nil"/>
            </w:tcBorders>
            <w:shd w:val="clear" w:color="auto" w:fill="auto"/>
            <w:vAlign w:val="center"/>
            <w:hideMark/>
          </w:tcPr>
          <w:p w:rsidR="00261A91" w:rsidRDefault="00261A91">
            <w:pPr>
              <w:jc w:val="right"/>
              <w:rPr>
                <w:rFonts w:ascii="Arial Narrow" w:hAnsi="Arial Narrow" w:cs="Calibri"/>
                <w:color w:val="000000"/>
                <w:sz w:val="18"/>
                <w:szCs w:val="18"/>
              </w:rPr>
            </w:pPr>
            <w:r>
              <w:rPr>
                <w:rFonts w:ascii="Arial Narrow" w:hAnsi="Arial Narrow" w:cs="Calibri"/>
                <w:color w:val="000000"/>
                <w:sz w:val="18"/>
                <w:szCs w:val="18"/>
              </w:rPr>
              <w:t>Totale</w:t>
            </w:r>
          </w:p>
        </w:tc>
        <w:tc>
          <w:tcPr>
            <w:tcW w:w="484" w:type="pct"/>
            <w:tcBorders>
              <w:top w:val="single" w:sz="4" w:space="0" w:color="auto"/>
              <w:left w:val="nil"/>
              <w:bottom w:val="single" w:sz="4" w:space="0" w:color="auto"/>
              <w:right w:val="nil"/>
            </w:tcBorders>
            <w:shd w:val="clear" w:color="auto" w:fill="auto"/>
            <w:noWrap/>
            <w:vAlign w:val="center"/>
            <w:hideMark/>
          </w:tcPr>
          <w:p w:rsidR="00261A91" w:rsidRDefault="00261A91">
            <w:pPr>
              <w:jc w:val="right"/>
              <w:rPr>
                <w:rFonts w:ascii="Arial Narrow" w:hAnsi="Arial Narrow" w:cs="Calibri"/>
                <w:color w:val="000000"/>
                <w:sz w:val="18"/>
                <w:szCs w:val="18"/>
              </w:rPr>
            </w:pPr>
            <w:r>
              <w:rPr>
                <w:rFonts w:ascii="Arial Narrow" w:hAnsi="Arial Narrow" w:cs="Calibri"/>
                <w:color w:val="000000"/>
                <w:sz w:val="18"/>
                <w:szCs w:val="18"/>
              </w:rPr>
              <w:t>Maschi</w:t>
            </w:r>
          </w:p>
        </w:tc>
        <w:tc>
          <w:tcPr>
            <w:tcW w:w="483" w:type="pct"/>
            <w:tcBorders>
              <w:top w:val="single" w:sz="4" w:space="0" w:color="auto"/>
              <w:left w:val="nil"/>
              <w:bottom w:val="single" w:sz="4" w:space="0" w:color="auto"/>
              <w:right w:val="nil"/>
            </w:tcBorders>
            <w:shd w:val="clear" w:color="auto" w:fill="auto"/>
            <w:vAlign w:val="center"/>
            <w:hideMark/>
          </w:tcPr>
          <w:p w:rsidR="00261A91" w:rsidRDefault="00261A91">
            <w:pPr>
              <w:jc w:val="right"/>
              <w:rPr>
                <w:rFonts w:ascii="Arial Narrow" w:hAnsi="Arial Narrow" w:cs="Calibri"/>
                <w:color w:val="000000"/>
                <w:sz w:val="18"/>
                <w:szCs w:val="18"/>
              </w:rPr>
            </w:pPr>
            <w:r>
              <w:rPr>
                <w:rFonts w:ascii="Arial Narrow" w:hAnsi="Arial Narrow" w:cs="Calibri"/>
                <w:color w:val="000000"/>
                <w:sz w:val="18"/>
                <w:szCs w:val="18"/>
              </w:rPr>
              <w:t>Femmine</w:t>
            </w:r>
          </w:p>
        </w:tc>
        <w:tc>
          <w:tcPr>
            <w:tcW w:w="480" w:type="pct"/>
            <w:tcBorders>
              <w:top w:val="single" w:sz="4" w:space="0" w:color="auto"/>
              <w:left w:val="nil"/>
              <w:bottom w:val="single" w:sz="4" w:space="0" w:color="auto"/>
              <w:right w:val="nil"/>
            </w:tcBorders>
            <w:shd w:val="clear" w:color="auto" w:fill="auto"/>
            <w:vAlign w:val="center"/>
            <w:hideMark/>
          </w:tcPr>
          <w:p w:rsidR="00261A91" w:rsidRDefault="00261A91">
            <w:pPr>
              <w:jc w:val="right"/>
              <w:rPr>
                <w:rFonts w:ascii="Arial Narrow" w:hAnsi="Arial Narrow" w:cs="Calibri"/>
                <w:color w:val="000000"/>
                <w:sz w:val="18"/>
                <w:szCs w:val="18"/>
              </w:rPr>
            </w:pPr>
            <w:r>
              <w:rPr>
                <w:rFonts w:ascii="Arial Narrow" w:hAnsi="Arial Narrow" w:cs="Calibri"/>
                <w:color w:val="000000"/>
                <w:sz w:val="18"/>
                <w:szCs w:val="18"/>
              </w:rPr>
              <w:t>Totale</w:t>
            </w:r>
          </w:p>
        </w:tc>
        <w:tc>
          <w:tcPr>
            <w:tcW w:w="484" w:type="pct"/>
            <w:tcBorders>
              <w:top w:val="single" w:sz="4" w:space="0" w:color="auto"/>
              <w:left w:val="nil"/>
              <w:bottom w:val="single" w:sz="4" w:space="0" w:color="auto"/>
              <w:right w:val="nil"/>
            </w:tcBorders>
            <w:shd w:val="clear" w:color="auto" w:fill="auto"/>
            <w:noWrap/>
            <w:vAlign w:val="center"/>
            <w:hideMark/>
          </w:tcPr>
          <w:p w:rsidR="00261A91" w:rsidRDefault="00261A91">
            <w:pPr>
              <w:jc w:val="right"/>
              <w:rPr>
                <w:rFonts w:ascii="Arial Narrow" w:hAnsi="Arial Narrow" w:cs="Calibri"/>
                <w:color w:val="000000"/>
                <w:sz w:val="18"/>
                <w:szCs w:val="18"/>
              </w:rPr>
            </w:pPr>
            <w:r>
              <w:rPr>
                <w:rFonts w:ascii="Arial Narrow" w:hAnsi="Arial Narrow" w:cs="Calibri"/>
                <w:color w:val="000000"/>
                <w:sz w:val="18"/>
                <w:szCs w:val="18"/>
              </w:rPr>
              <w:t>Maschi</w:t>
            </w:r>
          </w:p>
        </w:tc>
        <w:tc>
          <w:tcPr>
            <w:tcW w:w="484" w:type="pct"/>
            <w:tcBorders>
              <w:top w:val="single" w:sz="4" w:space="0" w:color="auto"/>
              <w:left w:val="nil"/>
              <w:bottom w:val="single" w:sz="4" w:space="0" w:color="auto"/>
              <w:right w:val="nil"/>
            </w:tcBorders>
            <w:shd w:val="clear" w:color="auto" w:fill="auto"/>
            <w:vAlign w:val="center"/>
            <w:hideMark/>
          </w:tcPr>
          <w:p w:rsidR="00261A91" w:rsidRDefault="00261A91">
            <w:pPr>
              <w:jc w:val="right"/>
              <w:rPr>
                <w:rFonts w:ascii="Arial Narrow" w:hAnsi="Arial Narrow" w:cs="Calibri"/>
                <w:color w:val="000000"/>
                <w:sz w:val="18"/>
                <w:szCs w:val="18"/>
              </w:rPr>
            </w:pPr>
            <w:r>
              <w:rPr>
                <w:rFonts w:ascii="Arial Narrow" w:hAnsi="Arial Narrow" w:cs="Calibri"/>
                <w:color w:val="000000"/>
                <w:sz w:val="18"/>
                <w:szCs w:val="18"/>
              </w:rPr>
              <w:t>Femmine</w:t>
            </w:r>
          </w:p>
        </w:tc>
        <w:tc>
          <w:tcPr>
            <w:tcW w:w="484" w:type="pct"/>
            <w:tcBorders>
              <w:top w:val="single" w:sz="4" w:space="0" w:color="auto"/>
              <w:left w:val="nil"/>
              <w:bottom w:val="single" w:sz="4" w:space="0" w:color="auto"/>
              <w:right w:val="nil"/>
            </w:tcBorders>
            <w:shd w:val="clear" w:color="auto" w:fill="auto"/>
            <w:vAlign w:val="center"/>
            <w:hideMark/>
          </w:tcPr>
          <w:p w:rsidR="00261A91" w:rsidRDefault="00261A91">
            <w:pPr>
              <w:jc w:val="right"/>
              <w:rPr>
                <w:rFonts w:ascii="Arial Narrow" w:hAnsi="Arial Narrow" w:cs="Calibri"/>
                <w:color w:val="000000"/>
                <w:sz w:val="18"/>
                <w:szCs w:val="18"/>
              </w:rPr>
            </w:pPr>
            <w:r>
              <w:rPr>
                <w:rFonts w:ascii="Arial Narrow" w:hAnsi="Arial Narrow" w:cs="Calibri"/>
                <w:color w:val="000000"/>
                <w:sz w:val="18"/>
                <w:szCs w:val="18"/>
              </w:rPr>
              <w:t>Totale</w:t>
            </w:r>
          </w:p>
        </w:tc>
      </w:tr>
      <w:tr w:rsidR="00261A91" w:rsidTr="000A598D">
        <w:trPr>
          <w:trHeight w:val="255"/>
        </w:trPr>
        <w:tc>
          <w:tcPr>
            <w:tcW w:w="642" w:type="pct"/>
            <w:tcBorders>
              <w:top w:val="single" w:sz="4" w:space="0" w:color="auto"/>
              <w:left w:val="nil"/>
              <w:bottom w:val="single" w:sz="4" w:space="0" w:color="auto"/>
              <w:right w:val="nil"/>
            </w:tcBorders>
            <w:shd w:val="clear" w:color="auto" w:fill="auto"/>
            <w:noWrap/>
            <w:vAlign w:val="center"/>
            <w:hideMark/>
          </w:tcPr>
          <w:p w:rsidR="00261A91" w:rsidRDefault="00261A91">
            <w:pPr>
              <w:ind w:firstLineChars="100" w:firstLine="180"/>
              <w:rPr>
                <w:rFonts w:ascii="Arial Narrow" w:hAnsi="Arial Narrow" w:cs="Calibri"/>
                <w:color w:val="000000"/>
                <w:sz w:val="18"/>
                <w:szCs w:val="18"/>
              </w:rPr>
            </w:pPr>
            <w:r>
              <w:rPr>
                <w:rFonts w:ascii="Arial Narrow" w:hAnsi="Arial Narrow" w:cs="Calibri"/>
                <w:color w:val="000000"/>
                <w:sz w:val="18"/>
                <w:szCs w:val="18"/>
              </w:rPr>
              <w:t>Matera</w:t>
            </w:r>
          </w:p>
        </w:tc>
        <w:tc>
          <w:tcPr>
            <w:tcW w:w="342" w:type="pct"/>
            <w:tcBorders>
              <w:top w:val="single" w:sz="4" w:space="0" w:color="auto"/>
              <w:left w:val="nil"/>
              <w:bottom w:val="single" w:sz="4" w:space="0" w:color="auto"/>
              <w:right w:val="nil"/>
            </w:tcBorders>
            <w:shd w:val="clear" w:color="000000" w:fill="D9D9D9"/>
            <w:noWrap/>
            <w:vAlign w:val="center"/>
            <w:hideMark/>
          </w:tcPr>
          <w:p w:rsidR="00261A91" w:rsidRDefault="00261A91">
            <w:pPr>
              <w:jc w:val="right"/>
              <w:rPr>
                <w:rFonts w:ascii="Arial Narrow" w:hAnsi="Arial Narrow" w:cs="Calibri"/>
                <w:color w:val="000000"/>
                <w:sz w:val="18"/>
                <w:szCs w:val="18"/>
              </w:rPr>
            </w:pPr>
            <w:r>
              <w:rPr>
                <w:rFonts w:ascii="Arial Narrow" w:hAnsi="Arial Narrow" w:cs="Calibri"/>
                <w:color w:val="000000"/>
                <w:sz w:val="18"/>
                <w:szCs w:val="18"/>
              </w:rPr>
              <w:t>60,2</w:t>
            </w:r>
          </w:p>
        </w:tc>
        <w:tc>
          <w:tcPr>
            <w:tcW w:w="560" w:type="pct"/>
            <w:tcBorders>
              <w:top w:val="single" w:sz="4" w:space="0" w:color="auto"/>
              <w:left w:val="nil"/>
              <w:bottom w:val="single" w:sz="4" w:space="0" w:color="auto"/>
              <w:right w:val="nil"/>
            </w:tcBorders>
            <w:shd w:val="clear" w:color="auto" w:fill="auto"/>
            <w:vAlign w:val="center"/>
            <w:hideMark/>
          </w:tcPr>
          <w:p w:rsidR="00261A91" w:rsidRDefault="00261A91">
            <w:pPr>
              <w:jc w:val="right"/>
              <w:rPr>
                <w:rFonts w:ascii="Arial Narrow" w:hAnsi="Arial Narrow" w:cs="Calibri"/>
                <w:color w:val="000000"/>
                <w:sz w:val="18"/>
                <w:szCs w:val="18"/>
              </w:rPr>
            </w:pPr>
            <w:r>
              <w:rPr>
                <w:rFonts w:ascii="Arial Narrow" w:hAnsi="Arial Narrow" w:cs="Calibri"/>
                <w:color w:val="000000"/>
                <w:sz w:val="18"/>
                <w:szCs w:val="18"/>
              </w:rPr>
              <w:t>40,1</w:t>
            </w:r>
          </w:p>
        </w:tc>
        <w:tc>
          <w:tcPr>
            <w:tcW w:w="557" w:type="pct"/>
            <w:tcBorders>
              <w:top w:val="single" w:sz="4" w:space="0" w:color="auto"/>
              <w:left w:val="nil"/>
              <w:bottom w:val="single" w:sz="4" w:space="0" w:color="auto"/>
              <w:right w:val="nil"/>
            </w:tcBorders>
            <w:shd w:val="clear" w:color="000000" w:fill="D9D9D9"/>
            <w:vAlign w:val="center"/>
            <w:hideMark/>
          </w:tcPr>
          <w:p w:rsidR="00261A91" w:rsidRDefault="00261A91">
            <w:pPr>
              <w:jc w:val="right"/>
              <w:rPr>
                <w:rFonts w:ascii="Arial Narrow" w:hAnsi="Arial Narrow" w:cs="Calibri"/>
                <w:color w:val="000000"/>
                <w:sz w:val="18"/>
                <w:szCs w:val="18"/>
              </w:rPr>
            </w:pPr>
            <w:r>
              <w:rPr>
                <w:rFonts w:ascii="Arial Narrow" w:hAnsi="Arial Narrow" w:cs="Calibri"/>
                <w:color w:val="000000"/>
                <w:sz w:val="18"/>
                <w:szCs w:val="18"/>
              </w:rPr>
              <w:t>49,9</w:t>
            </w:r>
          </w:p>
        </w:tc>
        <w:tc>
          <w:tcPr>
            <w:tcW w:w="484" w:type="pct"/>
            <w:tcBorders>
              <w:top w:val="single" w:sz="4" w:space="0" w:color="auto"/>
              <w:left w:val="nil"/>
              <w:bottom w:val="single" w:sz="4" w:space="0" w:color="auto"/>
              <w:right w:val="nil"/>
            </w:tcBorders>
            <w:shd w:val="clear" w:color="auto" w:fill="auto"/>
            <w:vAlign w:val="center"/>
            <w:hideMark/>
          </w:tcPr>
          <w:p w:rsidR="00261A91" w:rsidRDefault="00261A91">
            <w:pPr>
              <w:jc w:val="right"/>
              <w:rPr>
                <w:rFonts w:ascii="Arial Narrow" w:hAnsi="Arial Narrow" w:cs="Calibri"/>
                <w:color w:val="000000"/>
                <w:sz w:val="18"/>
                <w:szCs w:val="18"/>
              </w:rPr>
            </w:pPr>
            <w:r>
              <w:rPr>
                <w:rFonts w:ascii="Arial Narrow" w:hAnsi="Arial Narrow" w:cs="Calibri"/>
                <w:color w:val="000000"/>
                <w:sz w:val="18"/>
                <w:szCs w:val="18"/>
              </w:rPr>
              <w:t>50,7</w:t>
            </w:r>
          </w:p>
        </w:tc>
        <w:tc>
          <w:tcPr>
            <w:tcW w:w="483" w:type="pct"/>
            <w:tcBorders>
              <w:top w:val="single" w:sz="4" w:space="0" w:color="auto"/>
              <w:left w:val="nil"/>
              <w:bottom w:val="single" w:sz="4" w:space="0" w:color="auto"/>
              <w:right w:val="nil"/>
            </w:tcBorders>
            <w:shd w:val="clear" w:color="000000" w:fill="D9D9D9"/>
            <w:vAlign w:val="center"/>
            <w:hideMark/>
          </w:tcPr>
          <w:p w:rsidR="00261A91" w:rsidRDefault="00261A91">
            <w:pPr>
              <w:jc w:val="right"/>
              <w:rPr>
                <w:rFonts w:ascii="Arial Narrow" w:hAnsi="Arial Narrow" w:cs="Calibri"/>
                <w:color w:val="000000"/>
                <w:sz w:val="18"/>
                <w:szCs w:val="18"/>
              </w:rPr>
            </w:pPr>
            <w:r>
              <w:rPr>
                <w:rFonts w:ascii="Arial Narrow" w:hAnsi="Arial Narrow" w:cs="Calibri"/>
                <w:color w:val="000000"/>
                <w:sz w:val="18"/>
                <w:szCs w:val="18"/>
              </w:rPr>
              <w:t>31,7</w:t>
            </w:r>
          </w:p>
        </w:tc>
        <w:tc>
          <w:tcPr>
            <w:tcW w:w="480" w:type="pct"/>
            <w:tcBorders>
              <w:top w:val="single" w:sz="4" w:space="0" w:color="auto"/>
              <w:left w:val="nil"/>
              <w:bottom w:val="single" w:sz="4" w:space="0" w:color="auto"/>
              <w:right w:val="nil"/>
            </w:tcBorders>
            <w:shd w:val="clear" w:color="auto" w:fill="auto"/>
            <w:vAlign w:val="center"/>
            <w:hideMark/>
          </w:tcPr>
          <w:p w:rsidR="00261A91" w:rsidRDefault="00261A91">
            <w:pPr>
              <w:jc w:val="right"/>
              <w:rPr>
                <w:rFonts w:ascii="Arial Narrow" w:hAnsi="Arial Narrow" w:cs="Calibri"/>
                <w:color w:val="000000"/>
                <w:sz w:val="18"/>
                <w:szCs w:val="18"/>
              </w:rPr>
            </w:pPr>
            <w:r>
              <w:rPr>
                <w:rFonts w:ascii="Arial Narrow" w:hAnsi="Arial Narrow" w:cs="Calibri"/>
                <w:color w:val="000000"/>
                <w:sz w:val="18"/>
                <w:szCs w:val="18"/>
              </w:rPr>
              <w:t>41,0</w:t>
            </w:r>
          </w:p>
        </w:tc>
        <w:tc>
          <w:tcPr>
            <w:tcW w:w="484" w:type="pct"/>
            <w:tcBorders>
              <w:top w:val="single" w:sz="4" w:space="0" w:color="auto"/>
              <w:left w:val="nil"/>
              <w:bottom w:val="single" w:sz="4" w:space="0" w:color="auto"/>
              <w:right w:val="nil"/>
            </w:tcBorders>
            <w:shd w:val="clear" w:color="000000" w:fill="D9D9D9"/>
            <w:vAlign w:val="center"/>
            <w:hideMark/>
          </w:tcPr>
          <w:p w:rsidR="00261A91" w:rsidRDefault="00261A91">
            <w:pPr>
              <w:jc w:val="right"/>
              <w:rPr>
                <w:rFonts w:ascii="Arial Narrow" w:hAnsi="Arial Narrow" w:cs="Calibri"/>
                <w:color w:val="000000"/>
                <w:sz w:val="18"/>
                <w:szCs w:val="18"/>
              </w:rPr>
            </w:pPr>
            <w:r>
              <w:rPr>
                <w:rFonts w:ascii="Arial Narrow" w:hAnsi="Arial Narrow" w:cs="Calibri"/>
                <w:color w:val="000000"/>
                <w:sz w:val="18"/>
                <w:szCs w:val="18"/>
              </w:rPr>
              <w:t>15,9</w:t>
            </w:r>
          </w:p>
        </w:tc>
        <w:tc>
          <w:tcPr>
            <w:tcW w:w="484" w:type="pct"/>
            <w:tcBorders>
              <w:top w:val="single" w:sz="4" w:space="0" w:color="auto"/>
              <w:left w:val="nil"/>
              <w:bottom w:val="single" w:sz="4" w:space="0" w:color="auto"/>
              <w:right w:val="nil"/>
            </w:tcBorders>
            <w:shd w:val="clear" w:color="auto" w:fill="auto"/>
            <w:noWrap/>
            <w:vAlign w:val="center"/>
            <w:hideMark/>
          </w:tcPr>
          <w:p w:rsidR="00261A91" w:rsidRDefault="00261A91">
            <w:pPr>
              <w:jc w:val="right"/>
              <w:rPr>
                <w:rFonts w:ascii="Arial Narrow" w:hAnsi="Arial Narrow" w:cs="Calibri"/>
                <w:color w:val="000000"/>
                <w:sz w:val="18"/>
                <w:szCs w:val="18"/>
              </w:rPr>
            </w:pPr>
            <w:r>
              <w:rPr>
                <w:rFonts w:ascii="Arial Narrow" w:hAnsi="Arial Narrow" w:cs="Calibri"/>
                <w:color w:val="000000"/>
                <w:sz w:val="18"/>
                <w:szCs w:val="18"/>
              </w:rPr>
              <w:t>21,0</w:t>
            </w:r>
          </w:p>
        </w:tc>
        <w:tc>
          <w:tcPr>
            <w:tcW w:w="484" w:type="pct"/>
            <w:tcBorders>
              <w:top w:val="single" w:sz="4" w:space="0" w:color="auto"/>
              <w:left w:val="nil"/>
              <w:bottom w:val="single" w:sz="4" w:space="0" w:color="auto"/>
              <w:right w:val="nil"/>
            </w:tcBorders>
            <w:shd w:val="clear" w:color="000000" w:fill="D9D9D9"/>
            <w:noWrap/>
            <w:vAlign w:val="center"/>
            <w:hideMark/>
          </w:tcPr>
          <w:p w:rsidR="00261A91" w:rsidRDefault="00261A91">
            <w:pPr>
              <w:jc w:val="right"/>
              <w:rPr>
                <w:rFonts w:ascii="Arial Narrow" w:hAnsi="Arial Narrow" w:cs="Calibri"/>
                <w:color w:val="000000"/>
                <w:sz w:val="18"/>
                <w:szCs w:val="18"/>
              </w:rPr>
            </w:pPr>
            <w:r>
              <w:rPr>
                <w:rFonts w:ascii="Arial Narrow" w:hAnsi="Arial Narrow" w:cs="Calibri"/>
                <w:color w:val="000000"/>
                <w:sz w:val="18"/>
                <w:szCs w:val="18"/>
              </w:rPr>
              <w:t>18,0</w:t>
            </w:r>
          </w:p>
        </w:tc>
      </w:tr>
      <w:tr w:rsidR="00261A91" w:rsidTr="000A598D">
        <w:trPr>
          <w:trHeight w:val="255"/>
        </w:trPr>
        <w:tc>
          <w:tcPr>
            <w:tcW w:w="642" w:type="pct"/>
            <w:tcBorders>
              <w:top w:val="single" w:sz="4" w:space="0" w:color="auto"/>
              <w:left w:val="nil"/>
              <w:bottom w:val="single" w:sz="4" w:space="0" w:color="auto"/>
              <w:right w:val="nil"/>
            </w:tcBorders>
            <w:shd w:val="clear" w:color="auto" w:fill="auto"/>
            <w:noWrap/>
            <w:vAlign w:val="center"/>
            <w:hideMark/>
          </w:tcPr>
          <w:p w:rsidR="00261A91" w:rsidRDefault="00261A91">
            <w:pPr>
              <w:ind w:firstLineChars="100" w:firstLine="180"/>
              <w:rPr>
                <w:rFonts w:ascii="Arial Narrow" w:hAnsi="Arial Narrow" w:cs="Calibri"/>
                <w:color w:val="000000"/>
                <w:sz w:val="18"/>
                <w:szCs w:val="18"/>
              </w:rPr>
            </w:pPr>
            <w:r>
              <w:rPr>
                <w:rFonts w:ascii="Arial Narrow" w:hAnsi="Arial Narrow" w:cs="Calibri"/>
                <w:color w:val="000000"/>
                <w:sz w:val="18"/>
                <w:szCs w:val="18"/>
              </w:rPr>
              <w:t>Potenza</w:t>
            </w:r>
          </w:p>
        </w:tc>
        <w:tc>
          <w:tcPr>
            <w:tcW w:w="342" w:type="pct"/>
            <w:tcBorders>
              <w:top w:val="single" w:sz="4" w:space="0" w:color="auto"/>
              <w:left w:val="nil"/>
              <w:bottom w:val="single" w:sz="4" w:space="0" w:color="auto"/>
              <w:right w:val="nil"/>
            </w:tcBorders>
            <w:shd w:val="clear" w:color="000000" w:fill="D9D9D9"/>
            <w:noWrap/>
            <w:vAlign w:val="center"/>
            <w:hideMark/>
          </w:tcPr>
          <w:p w:rsidR="00261A91" w:rsidRDefault="00261A91">
            <w:pPr>
              <w:jc w:val="right"/>
              <w:rPr>
                <w:rFonts w:ascii="Arial Narrow" w:hAnsi="Arial Narrow" w:cs="Calibri"/>
                <w:color w:val="000000"/>
                <w:sz w:val="18"/>
                <w:szCs w:val="18"/>
              </w:rPr>
            </w:pPr>
            <w:r>
              <w:rPr>
                <w:rFonts w:ascii="Arial Narrow" w:hAnsi="Arial Narrow" w:cs="Calibri"/>
                <w:color w:val="000000"/>
                <w:sz w:val="18"/>
                <w:szCs w:val="18"/>
              </w:rPr>
              <w:t>59,8</w:t>
            </w:r>
          </w:p>
        </w:tc>
        <w:tc>
          <w:tcPr>
            <w:tcW w:w="560" w:type="pct"/>
            <w:tcBorders>
              <w:top w:val="single" w:sz="4" w:space="0" w:color="auto"/>
              <w:left w:val="nil"/>
              <w:bottom w:val="single" w:sz="4" w:space="0" w:color="auto"/>
              <w:right w:val="nil"/>
            </w:tcBorders>
            <w:shd w:val="clear" w:color="auto" w:fill="auto"/>
            <w:vAlign w:val="center"/>
            <w:hideMark/>
          </w:tcPr>
          <w:p w:rsidR="00261A91" w:rsidRDefault="00261A91">
            <w:pPr>
              <w:jc w:val="right"/>
              <w:rPr>
                <w:rFonts w:ascii="Arial Narrow" w:hAnsi="Arial Narrow" w:cs="Calibri"/>
                <w:color w:val="000000"/>
                <w:sz w:val="18"/>
                <w:szCs w:val="18"/>
              </w:rPr>
            </w:pPr>
            <w:r>
              <w:rPr>
                <w:rFonts w:ascii="Arial Narrow" w:hAnsi="Arial Narrow" w:cs="Calibri"/>
                <w:color w:val="000000"/>
                <w:sz w:val="18"/>
                <w:szCs w:val="18"/>
              </w:rPr>
              <w:t>40,1</w:t>
            </w:r>
          </w:p>
        </w:tc>
        <w:tc>
          <w:tcPr>
            <w:tcW w:w="557" w:type="pct"/>
            <w:tcBorders>
              <w:top w:val="single" w:sz="4" w:space="0" w:color="auto"/>
              <w:left w:val="nil"/>
              <w:bottom w:val="single" w:sz="4" w:space="0" w:color="auto"/>
              <w:right w:val="nil"/>
            </w:tcBorders>
            <w:shd w:val="clear" w:color="000000" w:fill="D9D9D9"/>
            <w:vAlign w:val="center"/>
            <w:hideMark/>
          </w:tcPr>
          <w:p w:rsidR="00261A91" w:rsidRDefault="00261A91">
            <w:pPr>
              <w:jc w:val="right"/>
              <w:rPr>
                <w:rFonts w:ascii="Arial Narrow" w:hAnsi="Arial Narrow" w:cs="Calibri"/>
                <w:color w:val="000000"/>
                <w:sz w:val="18"/>
                <w:szCs w:val="18"/>
              </w:rPr>
            </w:pPr>
            <w:r>
              <w:rPr>
                <w:rFonts w:ascii="Arial Narrow" w:hAnsi="Arial Narrow" w:cs="Calibri"/>
                <w:color w:val="000000"/>
                <w:sz w:val="18"/>
                <w:szCs w:val="18"/>
              </w:rPr>
              <w:t>49,7</w:t>
            </w:r>
          </w:p>
        </w:tc>
        <w:tc>
          <w:tcPr>
            <w:tcW w:w="484" w:type="pct"/>
            <w:tcBorders>
              <w:top w:val="single" w:sz="4" w:space="0" w:color="auto"/>
              <w:left w:val="nil"/>
              <w:bottom w:val="single" w:sz="4" w:space="0" w:color="auto"/>
              <w:right w:val="nil"/>
            </w:tcBorders>
            <w:shd w:val="clear" w:color="auto" w:fill="auto"/>
            <w:vAlign w:val="center"/>
            <w:hideMark/>
          </w:tcPr>
          <w:p w:rsidR="00261A91" w:rsidRDefault="00261A91">
            <w:pPr>
              <w:jc w:val="right"/>
              <w:rPr>
                <w:rFonts w:ascii="Arial Narrow" w:hAnsi="Arial Narrow" w:cs="Calibri"/>
                <w:color w:val="000000"/>
                <w:sz w:val="18"/>
                <w:szCs w:val="18"/>
              </w:rPr>
            </w:pPr>
            <w:r>
              <w:rPr>
                <w:rFonts w:ascii="Arial Narrow" w:hAnsi="Arial Narrow" w:cs="Calibri"/>
                <w:color w:val="000000"/>
                <w:sz w:val="18"/>
                <w:szCs w:val="18"/>
              </w:rPr>
              <w:t>51,8</w:t>
            </w:r>
          </w:p>
        </w:tc>
        <w:tc>
          <w:tcPr>
            <w:tcW w:w="483" w:type="pct"/>
            <w:tcBorders>
              <w:top w:val="single" w:sz="4" w:space="0" w:color="auto"/>
              <w:left w:val="nil"/>
              <w:bottom w:val="single" w:sz="4" w:space="0" w:color="auto"/>
              <w:right w:val="nil"/>
            </w:tcBorders>
            <w:shd w:val="clear" w:color="000000" w:fill="D9D9D9"/>
            <w:vAlign w:val="center"/>
            <w:hideMark/>
          </w:tcPr>
          <w:p w:rsidR="00261A91" w:rsidRDefault="00261A91">
            <w:pPr>
              <w:jc w:val="right"/>
              <w:rPr>
                <w:rFonts w:ascii="Arial Narrow" w:hAnsi="Arial Narrow" w:cs="Calibri"/>
                <w:color w:val="000000"/>
                <w:sz w:val="18"/>
                <w:szCs w:val="18"/>
              </w:rPr>
            </w:pPr>
            <w:r>
              <w:rPr>
                <w:rFonts w:ascii="Arial Narrow" w:hAnsi="Arial Narrow" w:cs="Calibri"/>
                <w:color w:val="000000"/>
                <w:sz w:val="18"/>
                <w:szCs w:val="18"/>
              </w:rPr>
              <w:t>32,0</w:t>
            </w:r>
          </w:p>
        </w:tc>
        <w:tc>
          <w:tcPr>
            <w:tcW w:w="480" w:type="pct"/>
            <w:tcBorders>
              <w:top w:val="single" w:sz="4" w:space="0" w:color="auto"/>
              <w:left w:val="nil"/>
              <w:bottom w:val="single" w:sz="4" w:space="0" w:color="auto"/>
              <w:right w:val="nil"/>
            </w:tcBorders>
            <w:shd w:val="clear" w:color="auto" w:fill="auto"/>
            <w:vAlign w:val="center"/>
            <w:hideMark/>
          </w:tcPr>
          <w:p w:rsidR="00261A91" w:rsidRDefault="00261A91">
            <w:pPr>
              <w:jc w:val="right"/>
              <w:rPr>
                <w:rFonts w:ascii="Arial Narrow" w:hAnsi="Arial Narrow" w:cs="Calibri"/>
                <w:color w:val="000000"/>
                <w:sz w:val="18"/>
                <w:szCs w:val="18"/>
              </w:rPr>
            </w:pPr>
            <w:r>
              <w:rPr>
                <w:rFonts w:ascii="Arial Narrow" w:hAnsi="Arial Narrow" w:cs="Calibri"/>
                <w:color w:val="000000"/>
                <w:sz w:val="18"/>
                <w:szCs w:val="18"/>
              </w:rPr>
              <w:t>41,7</w:t>
            </w:r>
          </w:p>
        </w:tc>
        <w:tc>
          <w:tcPr>
            <w:tcW w:w="484" w:type="pct"/>
            <w:tcBorders>
              <w:top w:val="single" w:sz="4" w:space="0" w:color="auto"/>
              <w:left w:val="nil"/>
              <w:bottom w:val="single" w:sz="4" w:space="0" w:color="auto"/>
              <w:right w:val="nil"/>
            </w:tcBorders>
            <w:shd w:val="clear" w:color="000000" w:fill="D9D9D9"/>
            <w:vAlign w:val="center"/>
            <w:hideMark/>
          </w:tcPr>
          <w:p w:rsidR="00261A91" w:rsidRDefault="00261A91">
            <w:pPr>
              <w:jc w:val="right"/>
              <w:rPr>
                <w:rFonts w:ascii="Arial Narrow" w:hAnsi="Arial Narrow" w:cs="Calibri"/>
                <w:color w:val="000000"/>
                <w:sz w:val="18"/>
                <w:szCs w:val="18"/>
              </w:rPr>
            </w:pPr>
            <w:r>
              <w:rPr>
                <w:rFonts w:ascii="Arial Narrow" w:hAnsi="Arial Narrow" w:cs="Calibri"/>
                <w:color w:val="000000"/>
                <w:sz w:val="18"/>
                <w:szCs w:val="18"/>
              </w:rPr>
              <w:t>13,4</w:t>
            </w:r>
          </w:p>
        </w:tc>
        <w:tc>
          <w:tcPr>
            <w:tcW w:w="484" w:type="pct"/>
            <w:tcBorders>
              <w:top w:val="single" w:sz="4" w:space="0" w:color="auto"/>
              <w:left w:val="nil"/>
              <w:bottom w:val="single" w:sz="4" w:space="0" w:color="auto"/>
              <w:right w:val="nil"/>
            </w:tcBorders>
            <w:shd w:val="clear" w:color="auto" w:fill="auto"/>
            <w:noWrap/>
            <w:vAlign w:val="center"/>
            <w:hideMark/>
          </w:tcPr>
          <w:p w:rsidR="00261A91" w:rsidRDefault="00261A91">
            <w:pPr>
              <w:jc w:val="right"/>
              <w:rPr>
                <w:rFonts w:ascii="Arial Narrow" w:hAnsi="Arial Narrow" w:cs="Calibri"/>
                <w:color w:val="000000"/>
                <w:sz w:val="18"/>
                <w:szCs w:val="18"/>
              </w:rPr>
            </w:pPr>
            <w:r>
              <w:rPr>
                <w:rFonts w:ascii="Arial Narrow" w:hAnsi="Arial Narrow" w:cs="Calibri"/>
                <w:color w:val="000000"/>
                <w:sz w:val="18"/>
                <w:szCs w:val="18"/>
              </w:rPr>
              <w:t>20,2</w:t>
            </w:r>
          </w:p>
        </w:tc>
        <w:tc>
          <w:tcPr>
            <w:tcW w:w="484" w:type="pct"/>
            <w:tcBorders>
              <w:top w:val="single" w:sz="4" w:space="0" w:color="auto"/>
              <w:left w:val="nil"/>
              <w:bottom w:val="single" w:sz="4" w:space="0" w:color="auto"/>
              <w:right w:val="nil"/>
            </w:tcBorders>
            <w:shd w:val="clear" w:color="000000" w:fill="D9D9D9"/>
            <w:noWrap/>
            <w:vAlign w:val="center"/>
            <w:hideMark/>
          </w:tcPr>
          <w:p w:rsidR="00261A91" w:rsidRDefault="00261A91">
            <w:pPr>
              <w:jc w:val="right"/>
              <w:rPr>
                <w:rFonts w:ascii="Arial Narrow" w:hAnsi="Arial Narrow" w:cs="Calibri"/>
                <w:color w:val="000000"/>
                <w:sz w:val="18"/>
                <w:szCs w:val="18"/>
              </w:rPr>
            </w:pPr>
            <w:r>
              <w:rPr>
                <w:rFonts w:ascii="Arial Narrow" w:hAnsi="Arial Narrow" w:cs="Calibri"/>
                <w:color w:val="000000"/>
                <w:sz w:val="18"/>
                <w:szCs w:val="18"/>
              </w:rPr>
              <w:t>16,2</w:t>
            </w:r>
          </w:p>
        </w:tc>
      </w:tr>
      <w:tr w:rsidR="00261A91" w:rsidTr="000A598D">
        <w:trPr>
          <w:trHeight w:val="255"/>
        </w:trPr>
        <w:tc>
          <w:tcPr>
            <w:tcW w:w="642" w:type="pct"/>
            <w:tcBorders>
              <w:top w:val="single" w:sz="4" w:space="0" w:color="auto"/>
              <w:left w:val="nil"/>
              <w:bottom w:val="single" w:sz="4" w:space="0" w:color="auto"/>
              <w:right w:val="nil"/>
            </w:tcBorders>
            <w:shd w:val="clear" w:color="000000" w:fill="C9321F"/>
            <w:noWrap/>
            <w:vAlign w:val="center"/>
            <w:hideMark/>
          </w:tcPr>
          <w:p w:rsidR="00261A91" w:rsidRDefault="00261A91">
            <w:pPr>
              <w:rPr>
                <w:rFonts w:ascii="Arial Narrow" w:hAnsi="Arial Narrow" w:cs="Calibri"/>
                <w:b/>
                <w:bCs/>
                <w:color w:val="FFFFFF"/>
                <w:sz w:val="18"/>
                <w:szCs w:val="18"/>
              </w:rPr>
            </w:pPr>
            <w:r>
              <w:rPr>
                <w:rFonts w:ascii="Arial Narrow" w:hAnsi="Arial Narrow" w:cs="Calibri"/>
                <w:b/>
                <w:bCs/>
                <w:color w:val="FFFFFF"/>
                <w:sz w:val="18"/>
                <w:szCs w:val="18"/>
              </w:rPr>
              <w:t>BASILICATA</w:t>
            </w:r>
          </w:p>
        </w:tc>
        <w:tc>
          <w:tcPr>
            <w:tcW w:w="342" w:type="pct"/>
            <w:tcBorders>
              <w:top w:val="single" w:sz="4" w:space="0" w:color="auto"/>
              <w:left w:val="nil"/>
              <w:bottom w:val="single" w:sz="4" w:space="0" w:color="auto"/>
              <w:right w:val="nil"/>
            </w:tcBorders>
            <w:shd w:val="clear" w:color="000000" w:fill="C9321F"/>
            <w:noWrap/>
            <w:vAlign w:val="center"/>
            <w:hideMark/>
          </w:tcPr>
          <w:p w:rsidR="00261A91" w:rsidRDefault="00261A91">
            <w:pPr>
              <w:jc w:val="right"/>
              <w:rPr>
                <w:rFonts w:ascii="Arial Narrow" w:hAnsi="Arial Narrow" w:cs="Calibri"/>
                <w:b/>
                <w:bCs/>
                <w:color w:val="FFFFFF"/>
                <w:sz w:val="18"/>
                <w:szCs w:val="18"/>
              </w:rPr>
            </w:pPr>
            <w:r>
              <w:rPr>
                <w:rFonts w:ascii="Arial Narrow" w:hAnsi="Arial Narrow" w:cs="Calibri"/>
                <w:b/>
                <w:bCs/>
                <w:color w:val="FFFFFF"/>
                <w:sz w:val="18"/>
                <w:szCs w:val="18"/>
              </w:rPr>
              <w:t>60,0</w:t>
            </w:r>
          </w:p>
        </w:tc>
        <w:tc>
          <w:tcPr>
            <w:tcW w:w="560" w:type="pct"/>
            <w:tcBorders>
              <w:top w:val="single" w:sz="4" w:space="0" w:color="auto"/>
              <w:left w:val="nil"/>
              <w:bottom w:val="single" w:sz="4" w:space="0" w:color="auto"/>
              <w:right w:val="nil"/>
            </w:tcBorders>
            <w:shd w:val="clear" w:color="000000" w:fill="C9321F"/>
            <w:vAlign w:val="center"/>
            <w:hideMark/>
          </w:tcPr>
          <w:p w:rsidR="00261A91" w:rsidRDefault="00261A91">
            <w:pPr>
              <w:jc w:val="right"/>
              <w:rPr>
                <w:rFonts w:ascii="Arial Narrow" w:hAnsi="Arial Narrow" w:cs="Calibri"/>
                <w:b/>
                <w:bCs/>
                <w:color w:val="FFFFFF"/>
                <w:sz w:val="18"/>
                <w:szCs w:val="18"/>
              </w:rPr>
            </w:pPr>
            <w:r>
              <w:rPr>
                <w:rFonts w:ascii="Arial Narrow" w:hAnsi="Arial Narrow" w:cs="Calibri"/>
                <w:b/>
                <w:bCs/>
                <w:color w:val="FFFFFF"/>
                <w:sz w:val="18"/>
                <w:szCs w:val="18"/>
              </w:rPr>
              <w:t>40,1</w:t>
            </w:r>
          </w:p>
        </w:tc>
        <w:tc>
          <w:tcPr>
            <w:tcW w:w="557" w:type="pct"/>
            <w:tcBorders>
              <w:top w:val="single" w:sz="4" w:space="0" w:color="auto"/>
              <w:left w:val="nil"/>
              <w:bottom w:val="single" w:sz="4" w:space="0" w:color="auto"/>
              <w:right w:val="nil"/>
            </w:tcBorders>
            <w:shd w:val="clear" w:color="000000" w:fill="C9321F"/>
            <w:vAlign w:val="center"/>
            <w:hideMark/>
          </w:tcPr>
          <w:p w:rsidR="00261A91" w:rsidRDefault="00261A91">
            <w:pPr>
              <w:jc w:val="right"/>
              <w:rPr>
                <w:rFonts w:ascii="Arial Narrow" w:hAnsi="Arial Narrow" w:cs="Calibri"/>
                <w:b/>
                <w:bCs/>
                <w:color w:val="FFFFFF"/>
                <w:sz w:val="18"/>
                <w:szCs w:val="18"/>
              </w:rPr>
            </w:pPr>
            <w:r>
              <w:rPr>
                <w:rFonts w:ascii="Arial Narrow" w:hAnsi="Arial Narrow" w:cs="Calibri"/>
                <w:b/>
                <w:bCs/>
                <w:color w:val="FFFFFF"/>
                <w:sz w:val="18"/>
                <w:szCs w:val="18"/>
              </w:rPr>
              <w:t>49,8</w:t>
            </w:r>
          </w:p>
        </w:tc>
        <w:tc>
          <w:tcPr>
            <w:tcW w:w="484" w:type="pct"/>
            <w:tcBorders>
              <w:top w:val="single" w:sz="4" w:space="0" w:color="auto"/>
              <w:left w:val="nil"/>
              <w:bottom w:val="single" w:sz="4" w:space="0" w:color="auto"/>
              <w:right w:val="nil"/>
            </w:tcBorders>
            <w:shd w:val="clear" w:color="000000" w:fill="C9321F"/>
            <w:vAlign w:val="center"/>
            <w:hideMark/>
          </w:tcPr>
          <w:p w:rsidR="00261A91" w:rsidRDefault="00261A91">
            <w:pPr>
              <w:jc w:val="right"/>
              <w:rPr>
                <w:rFonts w:ascii="Arial Narrow" w:hAnsi="Arial Narrow" w:cs="Calibri"/>
                <w:b/>
                <w:bCs/>
                <w:color w:val="FFFFFF"/>
                <w:sz w:val="18"/>
                <w:szCs w:val="18"/>
              </w:rPr>
            </w:pPr>
            <w:r>
              <w:rPr>
                <w:rFonts w:ascii="Arial Narrow" w:hAnsi="Arial Narrow" w:cs="Calibri"/>
                <w:b/>
                <w:bCs/>
                <w:color w:val="FFFFFF"/>
                <w:sz w:val="18"/>
                <w:szCs w:val="18"/>
              </w:rPr>
              <w:t>51,4</w:t>
            </w:r>
          </w:p>
        </w:tc>
        <w:tc>
          <w:tcPr>
            <w:tcW w:w="483" w:type="pct"/>
            <w:tcBorders>
              <w:top w:val="single" w:sz="4" w:space="0" w:color="auto"/>
              <w:left w:val="nil"/>
              <w:bottom w:val="single" w:sz="4" w:space="0" w:color="auto"/>
              <w:right w:val="nil"/>
            </w:tcBorders>
            <w:shd w:val="clear" w:color="000000" w:fill="C9321F"/>
            <w:vAlign w:val="center"/>
            <w:hideMark/>
          </w:tcPr>
          <w:p w:rsidR="00261A91" w:rsidRDefault="00261A91">
            <w:pPr>
              <w:jc w:val="right"/>
              <w:rPr>
                <w:rFonts w:ascii="Arial Narrow" w:hAnsi="Arial Narrow" w:cs="Calibri"/>
                <w:b/>
                <w:bCs/>
                <w:color w:val="FFFFFF"/>
                <w:sz w:val="18"/>
                <w:szCs w:val="18"/>
              </w:rPr>
            </w:pPr>
            <w:r>
              <w:rPr>
                <w:rFonts w:ascii="Arial Narrow" w:hAnsi="Arial Narrow" w:cs="Calibri"/>
                <w:b/>
                <w:bCs/>
                <w:color w:val="FFFFFF"/>
                <w:sz w:val="18"/>
                <w:szCs w:val="18"/>
              </w:rPr>
              <w:t>31,9</w:t>
            </w:r>
          </w:p>
        </w:tc>
        <w:tc>
          <w:tcPr>
            <w:tcW w:w="480" w:type="pct"/>
            <w:tcBorders>
              <w:top w:val="single" w:sz="4" w:space="0" w:color="auto"/>
              <w:left w:val="nil"/>
              <w:bottom w:val="single" w:sz="4" w:space="0" w:color="auto"/>
              <w:right w:val="nil"/>
            </w:tcBorders>
            <w:shd w:val="clear" w:color="000000" w:fill="C9321F"/>
            <w:vAlign w:val="center"/>
            <w:hideMark/>
          </w:tcPr>
          <w:p w:rsidR="00261A91" w:rsidRDefault="00261A91">
            <w:pPr>
              <w:jc w:val="right"/>
              <w:rPr>
                <w:rFonts w:ascii="Arial Narrow" w:hAnsi="Arial Narrow" w:cs="Calibri"/>
                <w:b/>
                <w:bCs/>
                <w:color w:val="FFFFFF"/>
                <w:sz w:val="18"/>
                <w:szCs w:val="18"/>
              </w:rPr>
            </w:pPr>
            <w:r>
              <w:rPr>
                <w:rFonts w:ascii="Arial Narrow" w:hAnsi="Arial Narrow" w:cs="Calibri"/>
                <w:b/>
                <w:bCs/>
                <w:color w:val="FFFFFF"/>
                <w:sz w:val="18"/>
                <w:szCs w:val="18"/>
              </w:rPr>
              <w:t>41,4</w:t>
            </w:r>
          </w:p>
        </w:tc>
        <w:tc>
          <w:tcPr>
            <w:tcW w:w="484" w:type="pct"/>
            <w:tcBorders>
              <w:top w:val="single" w:sz="4" w:space="0" w:color="auto"/>
              <w:left w:val="nil"/>
              <w:bottom w:val="single" w:sz="4" w:space="0" w:color="auto"/>
              <w:right w:val="nil"/>
            </w:tcBorders>
            <w:shd w:val="clear" w:color="000000" w:fill="C9321F"/>
            <w:vAlign w:val="center"/>
            <w:hideMark/>
          </w:tcPr>
          <w:p w:rsidR="00261A91" w:rsidRDefault="00261A91">
            <w:pPr>
              <w:jc w:val="right"/>
              <w:rPr>
                <w:rFonts w:ascii="Arial Narrow" w:hAnsi="Arial Narrow" w:cs="Calibri"/>
                <w:b/>
                <w:bCs/>
                <w:color w:val="FFFFFF"/>
                <w:sz w:val="18"/>
                <w:szCs w:val="18"/>
              </w:rPr>
            </w:pPr>
            <w:r>
              <w:rPr>
                <w:rFonts w:ascii="Arial Narrow" w:hAnsi="Arial Narrow" w:cs="Calibri"/>
                <w:b/>
                <w:bCs/>
                <w:color w:val="FFFFFF"/>
                <w:sz w:val="18"/>
                <w:szCs w:val="18"/>
              </w:rPr>
              <w:t>14,3</w:t>
            </w:r>
          </w:p>
        </w:tc>
        <w:tc>
          <w:tcPr>
            <w:tcW w:w="484" w:type="pct"/>
            <w:tcBorders>
              <w:top w:val="single" w:sz="4" w:space="0" w:color="auto"/>
              <w:left w:val="nil"/>
              <w:bottom w:val="single" w:sz="4" w:space="0" w:color="auto"/>
              <w:right w:val="nil"/>
            </w:tcBorders>
            <w:shd w:val="clear" w:color="000000" w:fill="C9321F"/>
            <w:noWrap/>
            <w:vAlign w:val="center"/>
            <w:hideMark/>
          </w:tcPr>
          <w:p w:rsidR="00261A91" w:rsidRDefault="00261A91">
            <w:pPr>
              <w:jc w:val="right"/>
              <w:rPr>
                <w:rFonts w:ascii="Arial Narrow" w:hAnsi="Arial Narrow" w:cs="Calibri"/>
                <w:b/>
                <w:bCs/>
                <w:color w:val="FFFFFF"/>
                <w:sz w:val="18"/>
                <w:szCs w:val="18"/>
              </w:rPr>
            </w:pPr>
            <w:r>
              <w:rPr>
                <w:rFonts w:ascii="Arial Narrow" w:hAnsi="Arial Narrow" w:cs="Calibri"/>
                <w:b/>
                <w:bCs/>
                <w:color w:val="FFFFFF"/>
                <w:sz w:val="18"/>
                <w:szCs w:val="18"/>
              </w:rPr>
              <w:t>20,5</w:t>
            </w:r>
          </w:p>
        </w:tc>
        <w:tc>
          <w:tcPr>
            <w:tcW w:w="484" w:type="pct"/>
            <w:tcBorders>
              <w:top w:val="single" w:sz="4" w:space="0" w:color="auto"/>
              <w:left w:val="nil"/>
              <w:bottom w:val="single" w:sz="4" w:space="0" w:color="auto"/>
              <w:right w:val="nil"/>
            </w:tcBorders>
            <w:shd w:val="clear" w:color="000000" w:fill="C9321F"/>
            <w:noWrap/>
            <w:vAlign w:val="center"/>
            <w:hideMark/>
          </w:tcPr>
          <w:p w:rsidR="00261A91" w:rsidRDefault="00261A91">
            <w:pPr>
              <w:jc w:val="right"/>
              <w:rPr>
                <w:rFonts w:ascii="Arial Narrow" w:hAnsi="Arial Narrow" w:cs="Calibri"/>
                <w:b/>
                <w:bCs/>
                <w:color w:val="FFFFFF"/>
                <w:sz w:val="18"/>
                <w:szCs w:val="18"/>
              </w:rPr>
            </w:pPr>
            <w:r>
              <w:rPr>
                <w:rFonts w:ascii="Arial Narrow" w:hAnsi="Arial Narrow" w:cs="Calibri"/>
                <w:b/>
                <w:bCs/>
                <w:color w:val="FFFFFF"/>
                <w:sz w:val="18"/>
                <w:szCs w:val="18"/>
              </w:rPr>
              <w:t>16,9</w:t>
            </w:r>
          </w:p>
        </w:tc>
      </w:tr>
    </w:tbl>
    <w:p w:rsidR="00D531E0" w:rsidRPr="00EB6F3A" w:rsidRDefault="00D531E0" w:rsidP="000A598D">
      <w:pPr>
        <w:spacing w:before="360" w:after="120"/>
        <w:jc w:val="both"/>
        <w:rPr>
          <w:rFonts w:ascii="Trebuchet MS" w:hAnsi="Trebuchet MS" w:cs="Arial"/>
          <w:color w:val="5F5F5F"/>
          <w:sz w:val="20"/>
          <w:szCs w:val="20"/>
        </w:rPr>
      </w:pPr>
      <w:r w:rsidRPr="00EB6F3A">
        <w:rPr>
          <w:rFonts w:ascii="Trebuchet MS" w:hAnsi="Trebuchet MS" w:cs="Arial"/>
          <w:color w:val="5F5F5F"/>
          <w:sz w:val="20"/>
          <w:szCs w:val="20"/>
        </w:rPr>
        <w:lastRenderedPageBreak/>
        <w:t xml:space="preserve">Rispetto all’ampiezza demografica, le maggiori quote di occupati si rilevano nei </w:t>
      </w:r>
      <w:r w:rsidR="007C683C" w:rsidRPr="00EB6F3A">
        <w:rPr>
          <w:rFonts w:ascii="Trebuchet MS" w:hAnsi="Trebuchet MS" w:cs="Arial"/>
          <w:color w:val="5F5F5F"/>
          <w:sz w:val="20"/>
          <w:szCs w:val="20"/>
        </w:rPr>
        <w:t xml:space="preserve">capoluoghi (45,1%) e nei comuni con più di </w:t>
      </w:r>
      <w:r w:rsidRPr="00EB6F3A">
        <w:rPr>
          <w:rFonts w:ascii="Trebuchet MS" w:hAnsi="Trebuchet MS" w:cs="Arial"/>
          <w:color w:val="5F5F5F"/>
          <w:sz w:val="20"/>
          <w:szCs w:val="20"/>
        </w:rPr>
        <w:t>1</w:t>
      </w:r>
      <w:r w:rsidR="007C683C" w:rsidRPr="00EB6F3A">
        <w:rPr>
          <w:rFonts w:ascii="Trebuchet MS" w:hAnsi="Trebuchet MS" w:cs="Arial"/>
          <w:color w:val="5F5F5F"/>
          <w:sz w:val="20"/>
          <w:szCs w:val="20"/>
        </w:rPr>
        <w:t>0 mila</w:t>
      </w:r>
      <w:r w:rsidRPr="00EB6F3A">
        <w:rPr>
          <w:rFonts w:ascii="Trebuchet MS" w:hAnsi="Trebuchet MS" w:cs="Arial"/>
          <w:color w:val="5F5F5F"/>
          <w:sz w:val="20"/>
          <w:szCs w:val="20"/>
        </w:rPr>
        <w:t xml:space="preserve"> abitanti</w:t>
      </w:r>
      <w:r w:rsidR="007C683C" w:rsidRPr="00EB6F3A">
        <w:rPr>
          <w:rFonts w:ascii="Trebuchet MS" w:hAnsi="Trebuchet MS" w:cs="Arial"/>
          <w:color w:val="5F5F5F"/>
          <w:sz w:val="20"/>
          <w:szCs w:val="20"/>
        </w:rPr>
        <w:t xml:space="preserve"> (41,8%)</w:t>
      </w:r>
      <w:r w:rsidRPr="00EB6F3A">
        <w:rPr>
          <w:rFonts w:ascii="Trebuchet MS" w:hAnsi="Trebuchet MS" w:cs="Arial"/>
          <w:color w:val="5F5F5F"/>
          <w:sz w:val="20"/>
          <w:szCs w:val="20"/>
        </w:rPr>
        <w:t xml:space="preserve">. </w:t>
      </w:r>
      <w:r w:rsidR="007C683C" w:rsidRPr="00EB6F3A">
        <w:rPr>
          <w:rFonts w:ascii="Trebuchet MS" w:hAnsi="Trebuchet MS" w:cs="Arial"/>
          <w:color w:val="5F5F5F"/>
          <w:sz w:val="20"/>
          <w:szCs w:val="20"/>
        </w:rPr>
        <w:t>I</w:t>
      </w:r>
      <w:r w:rsidRPr="00EB6F3A">
        <w:rPr>
          <w:rFonts w:ascii="Trebuchet MS" w:hAnsi="Trebuchet MS" w:cs="Arial"/>
          <w:color w:val="5F5F5F"/>
          <w:sz w:val="20"/>
          <w:szCs w:val="20"/>
        </w:rPr>
        <w:t xml:space="preserve">l tasso di </w:t>
      </w:r>
      <w:r w:rsidR="007C683C" w:rsidRPr="00EB6F3A">
        <w:rPr>
          <w:rFonts w:ascii="Trebuchet MS" w:hAnsi="Trebuchet MS" w:cs="Arial"/>
          <w:color w:val="5F5F5F"/>
          <w:sz w:val="20"/>
          <w:szCs w:val="20"/>
        </w:rPr>
        <w:t>dis</w:t>
      </w:r>
      <w:r w:rsidRPr="00EB6F3A">
        <w:rPr>
          <w:rFonts w:ascii="Trebuchet MS" w:hAnsi="Trebuchet MS" w:cs="Arial"/>
          <w:color w:val="5F5F5F"/>
          <w:sz w:val="20"/>
          <w:szCs w:val="20"/>
        </w:rPr>
        <w:t xml:space="preserve">occupazione </w:t>
      </w:r>
      <w:r w:rsidR="007C683C" w:rsidRPr="00EB6F3A">
        <w:rPr>
          <w:rFonts w:ascii="Trebuchet MS" w:hAnsi="Trebuchet MS" w:cs="Arial"/>
          <w:color w:val="5F5F5F"/>
          <w:sz w:val="20"/>
          <w:szCs w:val="20"/>
        </w:rPr>
        <w:t>super</w:t>
      </w:r>
      <w:r w:rsidR="00EB6F3A" w:rsidRPr="00EB6F3A">
        <w:rPr>
          <w:rFonts w:ascii="Trebuchet MS" w:hAnsi="Trebuchet MS" w:cs="Arial"/>
          <w:color w:val="5F5F5F"/>
          <w:sz w:val="20"/>
          <w:szCs w:val="20"/>
        </w:rPr>
        <w:t>a</w:t>
      </w:r>
      <w:r w:rsidRPr="00EB6F3A">
        <w:rPr>
          <w:rFonts w:ascii="Trebuchet MS" w:hAnsi="Trebuchet MS" w:cs="Arial"/>
          <w:color w:val="5F5F5F"/>
          <w:sz w:val="20"/>
          <w:szCs w:val="20"/>
        </w:rPr>
        <w:t xml:space="preserve"> la media regionale </w:t>
      </w:r>
      <w:r w:rsidR="007C683C" w:rsidRPr="00EB6F3A">
        <w:rPr>
          <w:rFonts w:ascii="Trebuchet MS" w:hAnsi="Trebuchet MS" w:cs="Arial"/>
          <w:color w:val="5F5F5F"/>
          <w:sz w:val="20"/>
          <w:szCs w:val="20"/>
        </w:rPr>
        <w:t xml:space="preserve">nei comuni con popolazione compresa fra </w:t>
      </w:r>
      <w:r w:rsidR="00EB6F3A" w:rsidRPr="00EB6F3A">
        <w:rPr>
          <w:rFonts w:ascii="Trebuchet MS" w:hAnsi="Trebuchet MS" w:cs="Arial"/>
          <w:color w:val="5F5F5F"/>
          <w:sz w:val="20"/>
          <w:szCs w:val="20"/>
        </w:rPr>
        <w:t>5.001e 20.000</w:t>
      </w:r>
      <w:r w:rsidR="007C683C" w:rsidRPr="00EB6F3A">
        <w:rPr>
          <w:rFonts w:ascii="Trebuchet MS" w:hAnsi="Trebuchet MS" w:cs="Arial"/>
          <w:color w:val="5F5F5F"/>
          <w:sz w:val="20"/>
          <w:szCs w:val="20"/>
        </w:rPr>
        <w:t xml:space="preserve"> abitanti </w:t>
      </w:r>
      <w:r w:rsidR="00EB6F3A" w:rsidRPr="00EB6F3A">
        <w:rPr>
          <w:rFonts w:ascii="Trebuchet MS" w:hAnsi="Trebuchet MS" w:cs="Arial"/>
          <w:color w:val="5F5F5F"/>
          <w:sz w:val="20"/>
          <w:szCs w:val="20"/>
        </w:rPr>
        <w:t xml:space="preserve">(18,4%), è di un punto più basso della media, </w:t>
      </w:r>
      <w:r w:rsidR="00D5536E" w:rsidRPr="00EB6F3A">
        <w:rPr>
          <w:rFonts w:ascii="Trebuchet MS" w:hAnsi="Trebuchet MS" w:cs="Arial"/>
          <w:color w:val="5F5F5F"/>
          <w:sz w:val="20"/>
          <w:szCs w:val="20"/>
        </w:rPr>
        <w:t>invece</w:t>
      </w:r>
      <w:r w:rsidR="00EB6F3A" w:rsidRPr="00EB6F3A">
        <w:rPr>
          <w:rFonts w:ascii="Trebuchet MS" w:hAnsi="Trebuchet MS" w:cs="Arial"/>
          <w:color w:val="5F5F5F"/>
          <w:sz w:val="20"/>
          <w:szCs w:val="20"/>
        </w:rPr>
        <w:t xml:space="preserve">, nei comuni con non più di 5.000 residenti e nei </w:t>
      </w:r>
      <w:r w:rsidR="00046042">
        <w:rPr>
          <w:rFonts w:ascii="Trebuchet MS" w:hAnsi="Trebuchet MS" w:cs="Arial"/>
          <w:color w:val="5F5F5F"/>
          <w:sz w:val="20"/>
          <w:szCs w:val="20"/>
        </w:rPr>
        <w:t xml:space="preserve">due </w:t>
      </w:r>
      <w:r w:rsidR="00EB6F3A" w:rsidRPr="00EB6F3A">
        <w:rPr>
          <w:rFonts w:ascii="Trebuchet MS" w:hAnsi="Trebuchet MS" w:cs="Arial"/>
          <w:color w:val="5F5F5F"/>
          <w:sz w:val="20"/>
          <w:szCs w:val="20"/>
        </w:rPr>
        <w:t xml:space="preserve">capoluoghi. </w:t>
      </w:r>
    </w:p>
    <w:p w:rsidR="00A445FC" w:rsidRDefault="000763AC" w:rsidP="00981220">
      <w:pPr>
        <w:spacing w:after="120"/>
        <w:jc w:val="both"/>
        <w:rPr>
          <w:rFonts w:ascii="Trebuchet MS" w:hAnsi="Trebuchet MS" w:cs="Arial"/>
          <w:color w:val="5F5F5F"/>
          <w:sz w:val="20"/>
          <w:szCs w:val="20"/>
        </w:rPr>
      </w:pPr>
      <w:r w:rsidRPr="00B65FB1">
        <w:rPr>
          <w:rFonts w:ascii="Trebuchet MS" w:hAnsi="Trebuchet MS" w:cs="Arial"/>
          <w:color w:val="5F5F5F"/>
          <w:sz w:val="20"/>
          <w:szCs w:val="20"/>
        </w:rPr>
        <w:t xml:space="preserve">In provincia di Potenza i comuni con il tasso di occupazione più elevato sono Pignola (47,7%), Marsicovetere (47,6%) e Viggiano (47,4%); in provincia di Matera i valori più elevati si registrano nel capoluogo (45,9%) e a Policoro (43,5%). </w:t>
      </w:r>
    </w:p>
    <w:p w:rsidR="00D531E0" w:rsidRPr="00E072ED" w:rsidRDefault="00D531E0" w:rsidP="00E072ED">
      <w:pPr>
        <w:spacing w:before="600" w:after="120"/>
        <w:jc w:val="both"/>
        <w:rPr>
          <w:rFonts w:ascii="Trebuchet MS" w:hAnsi="Trebuchet MS" w:cs="Arial"/>
          <w:b/>
          <w:color w:val="5F5F5F"/>
          <w:kern w:val="28"/>
          <w:sz w:val="22"/>
          <w:szCs w:val="22"/>
        </w:rPr>
      </w:pPr>
      <w:r w:rsidRPr="00E072ED">
        <w:rPr>
          <w:rFonts w:ascii="Trebuchet MS" w:hAnsi="Trebuchet MS" w:cs="Arial"/>
          <w:b/>
          <w:color w:val="5F5F5F"/>
          <w:kern w:val="28"/>
          <w:sz w:val="22"/>
          <w:szCs w:val="22"/>
        </w:rPr>
        <w:t>Caratteristiche della popolazione secondo la classificazione dei comuni della Strategia nazionale delle aree interne</w:t>
      </w:r>
    </w:p>
    <w:p w:rsidR="00D531E0" w:rsidRPr="003B71FA" w:rsidRDefault="00D531E0" w:rsidP="00E072ED">
      <w:pPr>
        <w:spacing w:before="240" w:after="120"/>
        <w:jc w:val="both"/>
        <w:rPr>
          <w:rFonts w:ascii="Trebuchet MS" w:hAnsi="Trebuchet MS" w:cs="Arial"/>
          <w:color w:val="5F5F5F"/>
          <w:sz w:val="20"/>
          <w:szCs w:val="20"/>
        </w:rPr>
      </w:pPr>
      <w:r w:rsidRPr="003B71FA">
        <w:rPr>
          <w:rFonts w:ascii="Trebuchet MS" w:hAnsi="Trebuchet MS" w:cs="Arial"/>
          <w:color w:val="5F5F5F"/>
          <w:sz w:val="20"/>
          <w:szCs w:val="20"/>
        </w:rPr>
        <w:t>Nell’ambito della Strategia Nazionale per le Aree Interne, che costituisce una delle linee strategiche di intervento dei Fondi strutturali europei del ciclo di programmazione 2014-2020, è stata introdotta una zonizzazione del territorio nazionale basata su una “lettura policentrica del territorio Italiano, cioè un territorio caratterizzato da una rete di comuni o aggregazioni di comuni (centri di offerta di servizi) attorno ai quali gravitano aree caratterizzate da diversi livelli di perifericità spaziale”</w:t>
      </w:r>
      <w:r w:rsidRPr="003B71FA">
        <w:rPr>
          <w:rStyle w:val="Rimandonotaapidipagina"/>
          <w:rFonts w:ascii="Trebuchet MS" w:hAnsi="Trebuchet MS" w:cs="Arial"/>
          <w:color w:val="5F5F5F"/>
          <w:sz w:val="20"/>
          <w:szCs w:val="20"/>
        </w:rPr>
        <w:footnoteReference w:id="11"/>
      </w:r>
      <w:r w:rsidRPr="003B71FA">
        <w:rPr>
          <w:rFonts w:ascii="Trebuchet MS" w:hAnsi="Trebuchet MS" w:cs="Arial"/>
          <w:color w:val="5F5F5F"/>
          <w:sz w:val="20"/>
          <w:szCs w:val="20"/>
        </w:rPr>
        <w:t xml:space="preserve">. </w:t>
      </w:r>
    </w:p>
    <w:p w:rsidR="00D531E0" w:rsidRDefault="00D531E0" w:rsidP="00D531E0">
      <w:pPr>
        <w:jc w:val="both"/>
        <w:rPr>
          <w:rFonts w:ascii="Trebuchet MS" w:hAnsi="Trebuchet MS" w:cs="Arial"/>
          <w:color w:val="5F5F5F"/>
          <w:sz w:val="20"/>
          <w:szCs w:val="20"/>
        </w:rPr>
      </w:pPr>
      <w:r w:rsidRPr="003B71FA">
        <w:rPr>
          <w:rFonts w:ascii="Trebuchet MS" w:hAnsi="Trebuchet MS" w:cs="Arial"/>
          <w:color w:val="5F5F5F"/>
          <w:sz w:val="20"/>
          <w:szCs w:val="20"/>
        </w:rPr>
        <w:t xml:space="preserve">La mappatura ha riguardato tutti i comuni italiani e si è sviluppata in due fasi: </w:t>
      </w:r>
    </w:p>
    <w:p w:rsidR="00623229" w:rsidRPr="003B71FA" w:rsidRDefault="00623229" w:rsidP="00D531E0">
      <w:pPr>
        <w:jc w:val="both"/>
        <w:rPr>
          <w:rFonts w:ascii="Trebuchet MS" w:hAnsi="Trebuchet MS" w:cs="Arial"/>
          <w:color w:val="5F5F5F"/>
          <w:sz w:val="20"/>
          <w:szCs w:val="20"/>
        </w:rPr>
      </w:pPr>
    </w:p>
    <w:p w:rsidR="00D531E0" w:rsidRPr="003B71FA" w:rsidRDefault="00D531E0" w:rsidP="00D531E0">
      <w:pPr>
        <w:pStyle w:val="Paragrafoelenco"/>
        <w:numPr>
          <w:ilvl w:val="0"/>
          <w:numId w:val="30"/>
        </w:numPr>
        <w:spacing w:after="0" w:line="240" w:lineRule="auto"/>
        <w:ind w:left="426" w:hanging="284"/>
        <w:jc w:val="both"/>
        <w:rPr>
          <w:rFonts w:ascii="Trebuchet MS" w:hAnsi="Trebuchet MS" w:cs="Arial"/>
          <w:color w:val="5F5F5F"/>
          <w:sz w:val="20"/>
          <w:szCs w:val="20"/>
        </w:rPr>
      </w:pPr>
      <w:r w:rsidRPr="003B71FA">
        <w:rPr>
          <w:rFonts w:ascii="Trebuchet MS" w:hAnsi="Trebuchet MS" w:cs="Arial"/>
          <w:color w:val="5F5F5F"/>
          <w:sz w:val="20"/>
          <w:szCs w:val="20"/>
        </w:rPr>
        <w:t xml:space="preserve">individuazione dei poli, rappresentati da singoli comuni (Polo) o da aggregati di comuni confinanti (Polo intercomunale) capaci di offrire, simultaneamente, tutta l’offerta scolastica secondaria, ospedali sedi di DEA di </w:t>
      </w:r>
      <w:r w:rsidR="00AD3457">
        <w:rPr>
          <w:rFonts w:ascii="Trebuchet MS" w:hAnsi="Trebuchet MS" w:cs="Arial"/>
          <w:color w:val="5F5F5F"/>
          <w:sz w:val="20"/>
          <w:szCs w:val="20"/>
        </w:rPr>
        <w:t>primo</w:t>
      </w:r>
      <w:r w:rsidRPr="003B71FA">
        <w:rPr>
          <w:rFonts w:ascii="Trebuchet MS" w:hAnsi="Trebuchet MS" w:cs="Arial"/>
          <w:color w:val="5F5F5F"/>
          <w:sz w:val="20"/>
          <w:szCs w:val="20"/>
        </w:rPr>
        <w:t xml:space="preserve"> livello e stazioni ferroviarie Platinum, Gold o Silver; </w:t>
      </w:r>
    </w:p>
    <w:p w:rsidR="00D531E0" w:rsidRPr="003B71FA" w:rsidRDefault="00D531E0" w:rsidP="00D531E0">
      <w:pPr>
        <w:pStyle w:val="Paragrafoelenco"/>
        <w:numPr>
          <w:ilvl w:val="0"/>
          <w:numId w:val="30"/>
        </w:numPr>
        <w:spacing w:after="120" w:line="240" w:lineRule="auto"/>
        <w:ind w:left="426" w:hanging="284"/>
        <w:jc w:val="both"/>
        <w:rPr>
          <w:rFonts w:ascii="Trebuchet MS" w:hAnsi="Trebuchet MS" w:cs="Arial"/>
          <w:color w:val="5F5F5F"/>
          <w:sz w:val="20"/>
          <w:szCs w:val="20"/>
        </w:rPr>
      </w:pPr>
      <w:r w:rsidRPr="003B71FA">
        <w:rPr>
          <w:rFonts w:ascii="Trebuchet MS" w:hAnsi="Trebuchet MS" w:cs="Arial"/>
          <w:color w:val="5F5F5F"/>
          <w:sz w:val="20"/>
          <w:szCs w:val="20"/>
        </w:rPr>
        <w:t xml:space="preserve">aggregazione dei restanti comuni in base alle distanze dai </w:t>
      </w:r>
      <w:r w:rsidR="00623229">
        <w:rPr>
          <w:rFonts w:ascii="Trebuchet MS" w:hAnsi="Trebuchet MS" w:cs="Arial"/>
          <w:color w:val="5F5F5F"/>
          <w:sz w:val="20"/>
          <w:szCs w:val="20"/>
        </w:rPr>
        <w:t>P</w:t>
      </w:r>
      <w:r w:rsidRPr="003B71FA">
        <w:rPr>
          <w:rFonts w:ascii="Trebuchet MS" w:hAnsi="Trebuchet MS" w:cs="Arial"/>
          <w:color w:val="5F5F5F"/>
          <w:sz w:val="20"/>
          <w:szCs w:val="20"/>
        </w:rPr>
        <w:t xml:space="preserve">oli misurate in tempi di percorrenza corrispondenti mediamente a meno di 20 minuti per le aree peri-urbane (Cintura), tra i 20 e i 40 minuti per le aree </w:t>
      </w:r>
      <w:r w:rsidR="00623229">
        <w:rPr>
          <w:rFonts w:ascii="Trebuchet MS" w:hAnsi="Trebuchet MS" w:cs="Arial"/>
          <w:color w:val="5F5F5F"/>
          <w:sz w:val="20"/>
          <w:szCs w:val="20"/>
        </w:rPr>
        <w:t>I</w:t>
      </w:r>
      <w:r w:rsidRPr="003B71FA">
        <w:rPr>
          <w:rFonts w:ascii="Trebuchet MS" w:hAnsi="Trebuchet MS" w:cs="Arial"/>
          <w:color w:val="5F5F5F"/>
          <w:sz w:val="20"/>
          <w:szCs w:val="20"/>
        </w:rPr>
        <w:t xml:space="preserve">ntermedie, tra i 40 e i 75 minuti per le aree </w:t>
      </w:r>
      <w:r w:rsidR="00623229">
        <w:rPr>
          <w:rFonts w:ascii="Trebuchet MS" w:hAnsi="Trebuchet MS" w:cs="Arial"/>
          <w:color w:val="5F5F5F"/>
          <w:sz w:val="20"/>
          <w:szCs w:val="20"/>
        </w:rPr>
        <w:t>P</w:t>
      </w:r>
      <w:r w:rsidRPr="003B71FA">
        <w:rPr>
          <w:rFonts w:ascii="Trebuchet MS" w:hAnsi="Trebuchet MS" w:cs="Arial"/>
          <w:color w:val="5F5F5F"/>
          <w:sz w:val="20"/>
          <w:szCs w:val="20"/>
        </w:rPr>
        <w:t xml:space="preserve">eriferiche e oltre i 75 per quelle </w:t>
      </w:r>
      <w:r w:rsidR="00623229">
        <w:rPr>
          <w:rFonts w:ascii="Trebuchet MS" w:hAnsi="Trebuchet MS" w:cs="Arial"/>
          <w:color w:val="5F5F5F"/>
          <w:sz w:val="20"/>
          <w:szCs w:val="20"/>
        </w:rPr>
        <w:t>U</w:t>
      </w:r>
      <w:r w:rsidRPr="003B71FA">
        <w:rPr>
          <w:rFonts w:ascii="Trebuchet MS" w:hAnsi="Trebuchet MS" w:cs="Arial"/>
          <w:color w:val="5F5F5F"/>
          <w:sz w:val="20"/>
          <w:szCs w:val="20"/>
        </w:rPr>
        <w:t xml:space="preserve">ltra-periferiche. </w:t>
      </w:r>
    </w:p>
    <w:p w:rsidR="00D531E0" w:rsidRPr="007133D8" w:rsidRDefault="00D531E0" w:rsidP="00B65FB1">
      <w:pPr>
        <w:spacing w:after="120"/>
        <w:jc w:val="both"/>
        <w:rPr>
          <w:rFonts w:ascii="Trebuchet MS" w:hAnsi="Trebuchet MS" w:cs="Arial"/>
          <w:color w:val="5F5F5F"/>
          <w:sz w:val="20"/>
          <w:szCs w:val="20"/>
        </w:rPr>
      </w:pPr>
      <w:r w:rsidRPr="007133D8">
        <w:rPr>
          <w:rFonts w:ascii="Trebuchet MS" w:hAnsi="Trebuchet MS" w:cs="Arial"/>
          <w:color w:val="5F5F5F"/>
          <w:sz w:val="20"/>
          <w:szCs w:val="20"/>
        </w:rPr>
        <w:t>I</w:t>
      </w:r>
      <w:r w:rsidR="00B65FB1" w:rsidRPr="007133D8">
        <w:rPr>
          <w:rFonts w:ascii="Trebuchet MS" w:hAnsi="Trebuchet MS" w:cs="Arial"/>
          <w:color w:val="5F5F5F"/>
          <w:sz w:val="20"/>
          <w:szCs w:val="20"/>
        </w:rPr>
        <w:t xml:space="preserve">n Basilicata solo Potenzae Matera </w:t>
      </w:r>
      <w:r w:rsidRPr="007133D8">
        <w:rPr>
          <w:rFonts w:ascii="Trebuchet MS" w:hAnsi="Trebuchet MS" w:cs="Arial"/>
          <w:color w:val="5F5F5F"/>
          <w:sz w:val="20"/>
          <w:szCs w:val="20"/>
        </w:rPr>
        <w:t xml:space="preserve">svolgono la funzione di </w:t>
      </w:r>
      <w:r w:rsidR="00623229">
        <w:rPr>
          <w:rFonts w:ascii="Trebuchet MS" w:hAnsi="Trebuchet MS" w:cs="Arial"/>
          <w:color w:val="5F5F5F"/>
          <w:sz w:val="20"/>
          <w:szCs w:val="20"/>
        </w:rPr>
        <w:t>P</w:t>
      </w:r>
      <w:r w:rsidRPr="007133D8">
        <w:rPr>
          <w:rFonts w:ascii="Trebuchet MS" w:hAnsi="Trebuchet MS" w:cs="Arial"/>
          <w:color w:val="5F5F5F"/>
          <w:sz w:val="20"/>
          <w:szCs w:val="20"/>
        </w:rPr>
        <w:t>oli dell’offerta di servizi essenziali</w:t>
      </w:r>
      <w:r w:rsidR="00B65FB1" w:rsidRPr="007133D8">
        <w:rPr>
          <w:rFonts w:ascii="Trebuchet MS" w:hAnsi="Trebuchet MS" w:cs="Arial"/>
          <w:color w:val="5F5F5F"/>
          <w:sz w:val="20"/>
          <w:szCs w:val="20"/>
        </w:rPr>
        <w:t xml:space="preserve">. Vi risiede il 22,9% della popolazione lucana; nei tre comuni </w:t>
      </w:r>
      <w:r w:rsidRPr="007133D8">
        <w:rPr>
          <w:rFonts w:ascii="Trebuchet MS" w:hAnsi="Trebuchet MS" w:cs="Arial"/>
          <w:color w:val="5F5F5F"/>
          <w:sz w:val="20"/>
          <w:szCs w:val="20"/>
        </w:rPr>
        <w:t xml:space="preserve">classificati come Cintura il </w:t>
      </w:r>
      <w:r w:rsidR="00B65FB1" w:rsidRPr="007133D8">
        <w:rPr>
          <w:rFonts w:ascii="Trebuchet MS" w:hAnsi="Trebuchet MS" w:cs="Arial"/>
          <w:color w:val="5F5F5F"/>
          <w:sz w:val="20"/>
          <w:szCs w:val="20"/>
        </w:rPr>
        <w:t>3,6</w:t>
      </w:r>
      <w:r w:rsidRPr="007133D8">
        <w:rPr>
          <w:rFonts w:ascii="Trebuchet MS" w:hAnsi="Trebuchet MS" w:cs="Arial"/>
          <w:color w:val="5F5F5F"/>
          <w:sz w:val="20"/>
          <w:szCs w:val="20"/>
        </w:rPr>
        <w:t xml:space="preserve">%. In complesso, quindi, </w:t>
      </w:r>
      <w:r w:rsidR="00B65FB1" w:rsidRPr="007133D8">
        <w:rPr>
          <w:rFonts w:ascii="Trebuchet MS" w:hAnsi="Trebuchet MS" w:cs="Arial"/>
          <w:color w:val="5F5F5F"/>
          <w:sz w:val="20"/>
          <w:szCs w:val="20"/>
        </w:rPr>
        <w:t xml:space="preserve">solo un lucano su </w:t>
      </w:r>
      <w:r w:rsidR="003B7ED5" w:rsidRPr="007133D8">
        <w:rPr>
          <w:rFonts w:ascii="Trebuchet MS" w:hAnsi="Trebuchet MS" w:cs="Arial"/>
          <w:color w:val="5F5F5F"/>
          <w:sz w:val="20"/>
          <w:szCs w:val="20"/>
        </w:rPr>
        <w:t xml:space="preserve">quattro </w:t>
      </w:r>
      <w:r w:rsidRPr="007133D8">
        <w:rPr>
          <w:rFonts w:ascii="Trebuchet MS" w:hAnsi="Trebuchet MS" w:cs="Arial"/>
          <w:color w:val="5F5F5F"/>
          <w:sz w:val="20"/>
          <w:szCs w:val="20"/>
        </w:rPr>
        <w:t>viv</w:t>
      </w:r>
      <w:r w:rsidR="00B65FB1" w:rsidRPr="007133D8">
        <w:rPr>
          <w:rFonts w:ascii="Trebuchet MS" w:hAnsi="Trebuchet MS" w:cs="Arial"/>
          <w:color w:val="5F5F5F"/>
          <w:sz w:val="20"/>
          <w:szCs w:val="20"/>
        </w:rPr>
        <w:t>e</w:t>
      </w:r>
      <w:r w:rsidRPr="007133D8">
        <w:rPr>
          <w:rFonts w:ascii="Trebuchet MS" w:hAnsi="Trebuchet MS" w:cs="Arial"/>
          <w:color w:val="5F5F5F"/>
          <w:sz w:val="20"/>
          <w:szCs w:val="20"/>
        </w:rPr>
        <w:t xml:space="preserve"> in comuni classificati come Centri e p</w:t>
      </w:r>
      <w:r w:rsidR="00B65FB1" w:rsidRPr="007133D8">
        <w:rPr>
          <w:rFonts w:ascii="Trebuchet MS" w:hAnsi="Trebuchet MS" w:cs="Arial"/>
          <w:color w:val="5F5F5F"/>
          <w:sz w:val="20"/>
          <w:szCs w:val="20"/>
        </w:rPr>
        <w:t>uò</w:t>
      </w:r>
      <w:r w:rsidRPr="007133D8">
        <w:rPr>
          <w:rFonts w:ascii="Trebuchet MS" w:hAnsi="Trebuchet MS" w:cs="Arial"/>
          <w:color w:val="5F5F5F"/>
          <w:sz w:val="20"/>
          <w:szCs w:val="20"/>
        </w:rPr>
        <w:t xml:space="preserve">, almeno in teoria, raggiungere i tre servizi essenziali in meno di 20 minuti. Rispetto al </w:t>
      </w:r>
      <w:r w:rsidR="003061E1">
        <w:rPr>
          <w:rFonts w:ascii="Trebuchet MS" w:hAnsi="Trebuchet MS" w:cs="Arial"/>
          <w:color w:val="5F5F5F"/>
          <w:sz w:val="20"/>
          <w:szCs w:val="20"/>
        </w:rPr>
        <w:t>Censimento</w:t>
      </w:r>
      <w:r w:rsidRPr="007133D8">
        <w:rPr>
          <w:rFonts w:ascii="Trebuchet MS" w:hAnsi="Trebuchet MS" w:cs="Arial"/>
          <w:color w:val="5F5F5F"/>
          <w:sz w:val="20"/>
          <w:szCs w:val="20"/>
        </w:rPr>
        <w:t xml:space="preserve"> del 2011, </w:t>
      </w:r>
      <w:r w:rsidR="00806719" w:rsidRPr="007133D8">
        <w:rPr>
          <w:rFonts w:ascii="Trebuchet MS" w:hAnsi="Trebuchet MS" w:cs="Arial"/>
          <w:color w:val="5F5F5F"/>
          <w:sz w:val="20"/>
          <w:szCs w:val="20"/>
        </w:rPr>
        <w:t>la popolazione</w:t>
      </w:r>
      <w:r w:rsidRPr="007133D8">
        <w:rPr>
          <w:rFonts w:ascii="Trebuchet MS" w:hAnsi="Trebuchet MS" w:cs="Arial"/>
          <w:color w:val="5F5F5F"/>
          <w:sz w:val="20"/>
          <w:szCs w:val="20"/>
        </w:rPr>
        <w:t xml:space="preserve"> dei Centri </w:t>
      </w:r>
      <w:r w:rsidR="00806719" w:rsidRPr="007133D8">
        <w:rPr>
          <w:rFonts w:ascii="Trebuchet MS" w:hAnsi="Trebuchet MS" w:cs="Arial"/>
          <w:color w:val="5F5F5F"/>
          <w:sz w:val="20"/>
          <w:szCs w:val="20"/>
        </w:rPr>
        <w:t xml:space="preserve">risulta </w:t>
      </w:r>
      <w:r w:rsidR="00D5536E" w:rsidRPr="007133D8">
        <w:rPr>
          <w:rFonts w:ascii="Trebuchet MS" w:hAnsi="Trebuchet MS" w:cs="Arial"/>
          <w:color w:val="5F5F5F"/>
          <w:sz w:val="20"/>
          <w:szCs w:val="20"/>
        </w:rPr>
        <w:t>sostanzialmente</w:t>
      </w:r>
      <w:r w:rsidR="00806719" w:rsidRPr="007133D8">
        <w:rPr>
          <w:rFonts w:ascii="Trebuchet MS" w:hAnsi="Trebuchet MS" w:cs="Arial"/>
          <w:color w:val="5F5F5F"/>
          <w:sz w:val="20"/>
          <w:szCs w:val="20"/>
        </w:rPr>
        <w:t xml:space="preserve"> stabile (aumenta di 350 unità nei comuni Polo e </w:t>
      </w:r>
      <w:r w:rsidR="00D5536E" w:rsidRPr="007133D8">
        <w:rPr>
          <w:rFonts w:ascii="Trebuchet MS" w:hAnsi="Trebuchet MS" w:cs="Arial"/>
          <w:color w:val="5F5F5F"/>
          <w:sz w:val="20"/>
          <w:szCs w:val="20"/>
        </w:rPr>
        <w:t>diminuisce</w:t>
      </w:r>
      <w:r w:rsidR="00806719" w:rsidRPr="007133D8">
        <w:rPr>
          <w:rFonts w:ascii="Trebuchet MS" w:hAnsi="Trebuchet MS" w:cs="Arial"/>
          <w:color w:val="5F5F5F"/>
          <w:sz w:val="20"/>
          <w:szCs w:val="20"/>
        </w:rPr>
        <w:t xml:space="preserve"> di 161 nei comuni Cintura</w:t>
      </w:r>
      <w:r w:rsidR="00046042">
        <w:rPr>
          <w:rFonts w:ascii="Trebuchet MS" w:hAnsi="Trebuchet MS" w:cs="Arial"/>
          <w:color w:val="5F5F5F"/>
          <w:sz w:val="20"/>
          <w:szCs w:val="20"/>
        </w:rPr>
        <w:t>).</w:t>
      </w:r>
    </w:p>
    <w:p w:rsidR="00D531E0" w:rsidRDefault="00D531E0" w:rsidP="000A598D">
      <w:pPr>
        <w:spacing w:after="180"/>
        <w:jc w:val="both"/>
        <w:rPr>
          <w:rFonts w:ascii="Trebuchet MS" w:hAnsi="Trebuchet MS" w:cs="Arial"/>
          <w:color w:val="5F5F5F"/>
          <w:sz w:val="20"/>
          <w:szCs w:val="20"/>
        </w:rPr>
      </w:pPr>
      <w:r w:rsidRPr="007133D8">
        <w:rPr>
          <w:rFonts w:ascii="Trebuchet MS" w:hAnsi="Trebuchet MS" w:cs="Arial"/>
          <w:color w:val="5F5F5F"/>
          <w:sz w:val="20"/>
          <w:szCs w:val="20"/>
        </w:rPr>
        <w:t xml:space="preserve">Sono invece </w:t>
      </w:r>
      <w:r w:rsidR="00806719" w:rsidRPr="007133D8">
        <w:rPr>
          <w:rFonts w:ascii="Trebuchet MS" w:hAnsi="Trebuchet MS" w:cs="Arial"/>
          <w:color w:val="5F5F5F"/>
          <w:sz w:val="20"/>
          <w:szCs w:val="20"/>
        </w:rPr>
        <w:t>126</w:t>
      </w:r>
      <w:r w:rsidRPr="007133D8">
        <w:rPr>
          <w:rFonts w:ascii="Trebuchet MS" w:hAnsi="Trebuchet MS" w:cs="Arial"/>
          <w:color w:val="5F5F5F"/>
          <w:sz w:val="20"/>
          <w:szCs w:val="20"/>
        </w:rPr>
        <w:t xml:space="preserve"> i comuni ubicati a più di 20 minuti di percorrenza dai comuni Polo; vi risiedono </w:t>
      </w:r>
      <w:r w:rsidR="00806719" w:rsidRPr="007133D8">
        <w:rPr>
          <w:rFonts w:ascii="Trebuchet MS" w:hAnsi="Trebuchet MS" w:cs="Arial"/>
          <w:color w:val="5F5F5F"/>
          <w:sz w:val="20"/>
          <w:szCs w:val="20"/>
        </w:rPr>
        <w:t>407</w:t>
      </w:r>
      <w:r w:rsidRPr="007133D8">
        <w:rPr>
          <w:rFonts w:ascii="Trebuchet MS" w:hAnsi="Trebuchet MS" w:cs="Arial"/>
          <w:color w:val="5F5F5F"/>
          <w:sz w:val="20"/>
          <w:szCs w:val="20"/>
        </w:rPr>
        <w:t xml:space="preserve"> mila abitanti, </w:t>
      </w:r>
      <w:r w:rsidR="00806719" w:rsidRPr="007133D8">
        <w:rPr>
          <w:rFonts w:ascii="Trebuchet MS" w:hAnsi="Trebuchet MS" w:cs="Arial"/>
          <w:color w:val="5F5F5F"/>
          <w:sz w:val="20"/>
          <w:szCs w:val="20"/>
        </w:rPr>
        <w:t>25</w:t>
      </w:r>
      <w:r w:rsidRPr="007133D8">
        <w:rPr>
          <w:rFonts w:ascii="Trebuchet MS" w:hAnsi="Trebuchet MS" w:cs="Arial"/>
          <w:color w:val="5F5F5F"/>
          <w:sz w:val="20"/>
          <w:szCs w:val="20"/>
        </w:rPr>
        <w:t xml:space="preserve"> mila in meno di quelli censiti nel 2011</w:t>
      </w:r>
      <w:r w:rsidR="00ED4127" w:rsidRPr="007133D8">
        <w:rPr>
          <w:rFonts w:ascii="Trebuchet MS" w:hAnsi="Trebuchet MS" w:cs="Arial"/>
          <w:color w:val="5F5F5F"/>
          <w:sz w:val="20"/>
          <w:szCs w:val="20"/>
        </w:rPr>
        <w:t xml:space="preserve">. I comuni Intermedi e quelli periferici ogni anno perdono, mediamente, il </w:t>
      </w:r>
      <w:r w:rsidR="00806719" w:rsidRPr="007133D8">
        <w:rPr>
          <w:rFonts w:ascii="Trebuchet MS" w:hAnsi="Trebuchet MS" w:cs="Arial"/>
          <w:color w:val="5F5F5F"/>
          <w:sz w:val="20"/>
          <w:szCs w:val="20"/>
        </w:rPr>
        <w:t>6‰</w:t>
      </w:r>
      <w:r w:rsidR="00ED4127" w:rsidRPr="007133D8">
        <w:rPr>
          <w:rFonts w:ascii="Trebuchet MS" w:hAnsi="Trebuchet MS" w:cs="Arial"/>
          <w:color w:val="5F5F5F"/>
          <w:sz w:val="20"/>
          <w:szCs w:val="20"/>
        </w:rPr>
        <w:t xml:space="preserve"> della popolazione, quelli Ultraperiferici l’11‰. </w:t>
      </w:r>
    </w:p>
    <w:p w:rsidR="0000403D" w:rsidRDefault="0000403D" w:rsidP="000A598D">
      <w:pPr>
        <w:spacing w:after="180"/>
        <w:jc w:val="both"/>
        <w:rPr>
          <w:rFonts w:ascii="Trebuchet MS" w:hAnsi="Trebuchet MS" w:cs="Arial"/>
          <w:color w:val="5F5F5F"/>
          <w:sz w:val="20"/>
          <w:szCs w:val="20"/>
        </w:rPr>
      </w:pPr>
    </w:p>
    <w:p w:rsidR="00D531E0" w:rsidRPr="008340B2" w:rsidRDefault="00D531E0" w:rsidP="000A598D">
      <w:pPr>
        <w:keepNext/>
        <w:keepLines/>
        <w:spacing w:before="120" w:after="60"/>
        <w:jc w:val="both"/>
        <w:rPr>
          <w:rFonts w:ascii="Arial" w:hAnsi="Arial" w:cs="Arial"/>
          <w:iCs/>
          <w:color w:val="595959" w:themeColor="text1" w:themeTint="A6"/>
          <w:sz w:val="20"/>
          <w:szCs w:val="20"/>
        </w:rPr>
      </w:pPr>
      <w:r w:rsidRPr="008340B2">
        <w:rPr>
          <w:rFonts w:ascii="Arial Narrow" w:hAnsi="Arial Narrow"/>
          <w:b/>
          <w:bCs/>
          <w:color w:val="595959" w:themeColor="text1" w:themeTint="A6"/>
          <w:sz w:val="22"/>
          <w:szCs w:val="22"/>
        </w:rPr>
        <w:t>PROSPETTO 13.</w:t>
      </w:r>
      <w:r w:rsidRPr="008340B2">
        <w:rPr>
          <w:rFonts w:ascii="Arial Narrow" w:hAnsi="Arial Narrow"/>
          <w:color w:val="595959" w:themeColor="text1" w:themeTint="A6"/>
          <w:sz w:val="22"/>
          <w:szCs w:val="22"/>
        </w:rPr>
        <w:t>POPOLAZIONE RESIDENTE PER CLASSIFICAZIONE DEI COMUNI SECONDO LA STRATEGIA NAZIONALE DELLE AREE INTERNE</w:t>
      </w:r>
      <w:r w:rsidRPr="008340B2">
        <w:rPr>
          <w:rFonts w:ascii="Arial Narrow" w:hAnsi="Arial Narrow"/>
          <w:color w:val="595959" w:themeColor="text1" w:themeTint="A6"/>
          <w:sz w:val="20"/>
          <w:szCs w:val="20"/>
        </w:rPr>
        <w:t>. Censimenti 2019</w:t>
      </w:r>
      <w:r w:rsidR="004F5935">
        <w:rPr>
          <w:rFonts w:ascii="Arial Narrow" w:hAnsi="Arial Narrow"/>
          <w:color w:val="595959" w:themeColor="text1" w:themeTint="A6"/>
          <w:sz w:val="20"/>
          <w:szCs w:val="20"/>
        </w:rPr>
        <w:t xml:space="preserve">, </w:t>
      </w:r>
      <w:r w:rsidRPr="008340B2">
        <w:rPr>
          <w:rFonts w:ascii="Arial Narrow" w:hAnsi="Arial Narrow"/>
          <w:color w:val="595959" w:themeColor="text1" w:themeTint="A6"/>
          <w:sz w:val="20"/>
          <w:szCs w:val="20"/>
        </w:rPr>
        <w:t>2018</w:t>
      </w:r>
      <w:r w:rsidR="004F5935">
        <w:rPr>
          <w:rFonts w:ascii="Arial Narrow" w:hAnsi="Arial Narrow"/>
          <w:color w:val="595959" w:themeColor="text1" w:themeTint="A6"/>
          <w:sz w:val="20"/>
          <w:szCs w:val="20"/>
        </w:rPr>
        <w:t xml:space="preserve"> e </w:t>
      </w:r>
      <w:r w:rsidRPr="008340B2">
        <w:rPr>
          <w:rFonts w:ascii="Arial Narrow" w:hAnsi="Arial Narrow"/>
          <w:color w:val="595959" w:themeColor="text1" w:themeTint="A6"/>
          <w:sz w:val="20"/>
          <w:szCs w:val="20"/>
        </w:rPr>
        <w:t>2011. Valori assoluti e variazione media annua per 1.000 residenti</w:t>
      </w:r>
    </w:p>
    <w:tbl>
      <w:tblPr>
        <w:tblW w:w="5000" w:type="pct"/>
        <w:tblCellMar>
          <w:left w:w="70" w:type="dxa"/>
          <w:right w:w="70" w:type="dxa"/>
        </w:tblCellMar>
        <w:tblLook w:val="04A0"/>
      </w:tblPr>
      <w:tblGrid>
        <w:gridCol w:w="2365"/>
        <w:gridCol w:w="915"/>
        <w:gridCol w:w="1242"/>
        <w:gridCol w:w="1230"/>
        <w:gridCol w:w="1230"/>
        <w:gridCol w:w="1320"/>
        <w:gridCol w:w="1476"/>
      </w:tblGrid>
      <w:tr w:rsidR="00A0211A" w:rsidTr="00F77FF1">
        <w:trPr>
          <w:trHeight w:val="255"/>
        </w:trPr>
        <w:tc>
          <w:tcPr>
            <w:tcW w:w="1209" w:type="pct"/>
            <w:vMerge w:val="restart"/>
            <w:tcBorders>
              <w:top w:val="single" w:sz="4" w:space="0" w:color="auto"/>
              <w:bottom w:val="single" w:sz="4" w:space="0" w:color="auto"/>
            </w:tcBorders>
            <w:shd w:val="clear" w:color="auto" w:fill="auto"/>
            <w:noWrap/>
            <w:vAlign w:val="center"/>
            <w:hideMark/>
          </w:tcPr>
          <w:p w:rsidR="00A0211A" w:rsidRDefault="00A0211A">
            <w:pPr>
              <w:rPr>
                <w:rFonts w:ascii="Arial Narrow" w:hAnsi="Arial Narrow"/>
                <w:b/>
                <w:bCs/>
                <w:color w:val="000000"/>
                <w:sz w:val="18"/>
                <w:szCs w:val="18"/>
              </w:rPr>
            </w:pPr>
            <w:r>
              <w:rPr>
                <w:rFonts w:ascii="Arial Narrow" w:hAnsi="Arial Narrow"/>
                <w:b/>
                <w:bCs/>
                <w:color w:val="000000"/>
                <w:sz w:val="18"/>
                <w:szCs w:val="18"/>
              </w:rPr>
              <w:t>CLASSI</w:t>
            </w:r>
          </w:p>
        </w:tc>
        <w:tc>
          <w:tcPr>
            <w:tcW w:w="468" w:type="pct"/>
            <w:vMerge w:val="restart"/>
            <w:tcBorders>
              <w:top w:val="single" w:sz="4" w:space="0" w:color="auto"/>
              <w:bottom w:val="single" w:sz="4" w:space="0" w:color="auto"/>
            </w:tcBorders>
            <w:shd w:val="clear" w:color="000000" w:fill="D9D9D9"/>
            <w:vAlign w:val="center"/>
            <w:hideMark/>
          </w:tcPr>
          <w:p w:rsidR="00A0211A" w:rsidRDefault="00A0211A" w:rsidP="00F77FF1">
            <w:pPr>
              <w:spacing w:before="40" w:after="20"/>
              <w:jc w:val="right"/>
              <w:rPr>
                <w:rFonts w:ascii="Arial Narrow" w:hAnsi="Arial Narrow"/>
                <w:b/>
                <w:bCs/>
                <w:color w:val="000000"/>
                <w:sz w:val="18"/>
                <w:szCs w:val="18"/>
              </w:rPr>
            </w:pPr>
            <w:r>
              <w:rPr>
                <w:rFonts w:ascii="Arial Narrow" w:hAnsi="Arial Narrow"/>
                <w:b/>
                <w:bCs/>
                <w:color w:val="000000"/>
                <w:sz w:val="18"/>
                <w:szCs w:val="18"/>
              </w:rPr>
              <w:t>Numero comuni</w:t>
            </w:r>
          </w:p>
        </w:tc>
        <w:tc>
          <w:tcPr>
            <w:tcW w:w="1893" w:type="pct"/>
            <w:gridSpan w:val="3"/>
            <w:tcBorders>
              <w:top w:val="single" w:sz="4" w:space="0" w:color="auto"/>
              <w:bottom w:val="single" w:sz="4" w:space="0" w:color="auto"/>
            </w:tcBorders>
            <w:shd w:val="clear" w:color="auto" w:fill="auto"/>
            <w:noWrap/>
            <w:vAlign w:val="center"/>
            <w:hideMark/>
          </w:tcPr>
          <w:p w:rsidR="00A0211A" w:rsidRDefault="00A0211A">
            <w:pPr>
              <w:jc w:val="center"/>
              <w:rPr>
                <w:rFonts w:ascii="Arial Narrow" w:hAnsi="Arial Narrow"/>
                <w:b/>
                <w:bCs/>
                <w:color w:val="000000"/>
                <w:sz w:val="18"/>
                <w:szCs w:val="18"/>
              </w:rPr>
            </w:pPr>
            <w:r>
              <w:rPr>
                <w:rFonts w:ascii="Arial Narrow" w:hAnsi="Arial Narrow"/>
                <w:b/>
                <w:bCs/>
                <w:color w:val="000000"/>
                <w:sz w:val="18"/>
                <w:szCs w:val="18"/>
              </w:rPr>
              <w:t>Popolazione residente</w:t>
            </w:r>
          </w:p>
        </w:tc>
        <w:tc>
          <w:tcPr>
            <w:tcW w:w="1430" w:type="pct"/>
            <w:gridSpan w:val="2"/>
            <w:tcBorders>
              <w:top w:val="single" w:sz="4" w:space="0" w:color="auto"/>
              <w:bottom w:val="single" w:sz="4" w:space="0" w:color="auto"/>
            </w:tcBorders>
            <w:shd w:val="clear" w:color="000000" w:fill="D9D9D9"/>
            <w:vAlign w:val="center"/>
            <w:hideMark/>
          </w:tcPr>
          <w:p w:rsidR="00A0211A" w:rsidRDefault="00A0211A">
            <w:pPr>
              <w:jc w:val="center"/>
              <w:rPr>
                <w:rFonts w:ascii="Arial Narrow" w:hAnsi="Arial Narrow"/>
                <w:b/>
                <w:bCs/>
                <w:color w:val="000000"/>
                <w:sz w:val="18"/>
                <w:szCs w:val="18"/>
              </w:rPr>
            </w:pPr>
            <w:r>
              <w:rPr>
                <w:rFonts w:ascii="Arial Narrow" w:hAnsi="Arial Narrow"/>
                <w:b/>
                <w:bCs/>
                <w:color w:val="000000"/>
                <w:sz w:val="18"/>
                <w:szCs w:val="18"/>
              </w:rPr>
              <w:t xml:space="preserve">Variazione della popolazione </w:t>
            </w:r>
          </w:p>
        </w:tc>
      </w:tr>
      <w:tr w:rsidR="00A0211A" w:rsidTr="00F77FF1">
        <w:trPr>
          <w:trHeight w:val="255"/>
        </w:trPr>
        <w:tc>
          <w:tcPr>
            <w:tcW w:w="1209" w:type="pct"/>
            <w:vMerge/>
            <w:tcBorders>
              <w:top w:val="single" w:sz="4" w:space="0" w:color="auto"/>
              <w:bottom w:val="single" w:sz="4" w:space="0" w:color="auto"/>
            </w:tcBorders>
            <w:vAlign w:val="center"/>
            <w:hideMark/>
          </w:tcPr>
          <w:p w:rsidR="00A0211A" w:rsidRDefault="00A0211A">
            <w:pPr>
              <w:rPr>
                <w:rFonts w:ascii="Arial Narrow" w:hAnsi="Arial Narrow"/>
                <w:b/>
                <w:bCs/>
                <w:color w:val="000000"/>
                <w:sz w:val="18"/>
                <w:szCs w:val="18"/>
              </w:rPr>
            </w:pPr>
          </w:p>
        </w:tc>
        <w:tc>
          <w:tcPr>
            <w:tcW w:w="468" w:type="pct"/>
            <w:vMerge/>
            <w:tcBorders>
              <w:top w:val="single" w:sz="4" w:space="0" w:color="auto"/>
              <w:bottom w:val="single" w:sz="4" w:space="0" w:color="auto"/>
            </w:tcBorders>
            <w:vAlign w:val="center"/>
            <w:hideMark/>
          </w:tcPr>
          <w:p w:rsidR="00A0211A" w:rsidRDefault="00A0211A">
            <w:pPr>
              <w:rPr>
                <w:rFonts w:ascii="Arial Narrow" w:hAnsi="Arial Narrow"/>
                <w:b/>
                <w:bCs/>
                <w:color w:val="000000"/>
                <w:sz w:val="18"/>
                <w:szCs w:val="18"/>
              </w:rPr>
            </w:pPr>
          </w:p>
        </w:tc>
        <w:tc>
          <w:tcPr>
            <w:tcW w:w="635" w:type="pct"/>
            <w:tcBorders>
              <w:top w:val="single" w:sz="4" w:space="0" w:color="auto"/>
              <w:bottom w:val="single" w:sz="4" w:space="0" w:color="auto"/>
            </w:tcBorders>
            <w:shd w:val="clear" w:color="000000" w:fill="FFFFFF"/>
            <w:noWrap/>
            <w:vAlign w:val="center"/>
            <w:hideMark/>
          </w:tcPr>
          <w:p w:rsidR="00A0211A" w:rsidRDefault="00A0211A">
            <w:pPr>
              <w:jc w:val="right"/>
              <w:rPr>
                <w:rFonts w:ascii="Arial Narrow" w:hAnsi="Arial Narrow"/>
                <w:color w:val="000000"/>
                <w:sz w:val="18"/>
                <w:szCs w:val="18"/>
              </w:rPr>
            </w:pPr>
            <w:r>
              <w:rPr>
                <w:rFonts w:ascii="Arial Narrow" w:hAnsi="Arial Narrow"/>
                <w:color w:val="000000"/>
                <w:sz w:val="18"/>
                <w:szCs w:val="18"/>
              </w:rPr>
              <w:t>2019</w:t>
            </w:r>
          </w:p>
        </w:tc>
        <w:tc>
          <w:tcPr>
            <w:tcW w:w="629" w:type="pct"/>
            <w:tcBorders>
              <w:top w:val="single" w:sz="4" w:space="0" w:color="auto"/>
              <w:bottom w:val="single" w:sz="4" w:space="0" w:color="auto"/>
            </w:tcBorders>
            <w:shd w:val="clear" w:color="auto" w:fill="auto"/>
            <w:noWrap/>
            <w:vAlign w:val="center"/>
            <w:hideMark/>
          </w:tcPr>
          <w:p w:rsidR="00A0211A" w:rsidRDefault="00A0211A">
            <w:pPr>
              <w:jc w:val="right"/>
              <w:rPr>
                <w:rFonts w:ascii="Arial Narrow" w:hAnsi="Arial Narrow"/>
                <w:color w:val="000000"/>
                <w:sz w:val="18"/>
                <w:szCs w:val="18"/>
              </w:rPr>
            </w:pPr>
            <w:r>
              <w:rPr>
                <w:rFonts w:ascii="Arial Narrow" w:hAnsi="Arial Narrow"/>
                <w:color w:val="000000"/>
                <w:sz w:val="18"/>
                <w:szCs w:val="18"/>
              </w:rPr>
              <w:t>2018</w:t>
            </w:r>
          </w:p>
        </w:tc>
        <w:tc>
          <w:tcPr>
            <w:tcW w:w="629" w:type="pct"/>
            <w:tcBorders>
              <w:top w:val="single" w:sz="4" w:space="0" w:color="auto"/>
              <w:bottom w:val="single" w:sz="4" w:space="0" w:color="auto"/>
            </w:tcBorders>
            <w:shd w:val="clear" w:color="000000" w:fill="FFFFFF"/>
            <w:noWrap/>
            <w:vAlign w:val="center"/>
            <w:hideMark/>
          </w:tcPr>
          <w:p w:rsidR="00A0211A" w:rsidRDefault="00A0211A">
            <w:pPr>
              <w:jc w:val="right"/>
              <w:rPr>
                <w:rFonts w:ascii="Arial Narrow" w:hAnsi="Arial Narrow"/>
                <w:color w:val="000000"/>
                <w:sz w:val="18"/>
                <w:szCs w:val="18"/>
              </w:rPr>
            </w:pPr>
            <w:r>
              <w:rPr>
                <w:rFonts w:ascii="Arial Narrow" w:hAnsi="Arial Narrow"/>
                <w:color w:val="000000"/>
                <w:sz w:val="18"/>
                <w:szCs w:val="18"/>
              </w:rPr>
              <w:t>2011</w:t>
            </w:r>
          </w:p>
        </w:tc>
        <w:tc>
          <w:tcPr>
            <w:tcW w:w="675" w:type="pct"/>
            <w:tcBorders>
              <w:top w:val="single" w:sz="4" w:space="0" w:color="auto"/>
              <w:bottom w:val="single" w:sz="4" w:space="0" w:color="auto"/>
            </w:tcBorders>
            <w:shd w:val="clear" w:color="000000" w:fill="FFFFFF"/>
            <w:noWrap/>
            <w:vAlign w:val="center"/>
            <w:hideMark/>
          </w:tcPr>
          <w:p w:rsidR="00A0211A" w:rsidRDefault="00A0211A" w:rsidP="00A0211A">
            <w:pPr>
              <w:ind w:firstLineChars="100" w:firstLine="180"/>
              <w:jc w:val="right"/>
              <w:rPr>
                <w:rFonts w:ascii="Arial Narrow" w:hAnsi="Arial Narrow"/>
                <w:color w:val="000000"/>
                <w:sz w:val="18"/>
                <w:szCs w:val="18"/>
              </w:rPr>
            </w:pPr>
            <w:r>
              <w:rPr>
                <w:rFonts w:ascii="Arial Narrow" w:hAnsi="Arial Narrow"/>
                <w:color w:val="000000"/>
                <w:sz w:val="18"/>
                <w:szCs w:val="18"/>
              </w:rPr>
              <w:t>2019-2018</w:t>
            </w:r>
          </w:p>
        </w:tc>
        <w:tc>
          <w:tcPr>
            <w:tcW w:w="754" w:type="pct"/>
            <w:tcBorders>
              <w:top w:val="single" w:sz="4" w:space="0" w:color="auto"/>
              <w:bottom w:val="single" w:sz="4" w:space="0" w:color="auto"/>
            </w:tcBorders>
            <w:shd w:val="clear" w:color="000000" w:fill="FFFFFF"/>
            <w:noWrap/>
            <w:vAlign w:val="center"/>
            <w:hideMark/>
          </w:tcPr>
          <w:p w:rsidR="00A0211A" w:rsidRDefault="00A0211A" w:rsidP="00A0211A">
            <w:pPr>
              <w:ind w:firstLineChars="100" w:firstLine="180"/>
              <w:jc w:val="right"/>
              <w:rPr>
                <w:rFonts w:ascii="Arial Narrow" w:hAnsi="Arial Narrow"/>
                <w:color w:val="000000"/>
                <w:sz w:val="18"/>
                <w:szCs w:val="18"/>
              </w:rPr>
            </w:pPr>
            <w:r>
              <w:rPr>
                <w:rFonts w:ascii="Arial Narrow" w:hAnsi="Arial Narrow"/>
                <w:color w:val="000000"/>
                <w:sz w:val="18"/>
                <w:szCs w:val="18"/>
              </w:rPr>
              <w:t>2019-2011</w:t>
            </w:r>
            <w:r>
              <w:rPr>
                <w:rFonts w:ascii="Arial Narrow" w:hAnsi="Arial Narrow"/>
                <w:color w:val="000000"/>
                <w:sz w:val="18"/>
                <w:szCs w:val="18"/>
                <w:vertAlign w:val="superscript"/>
              </w:rPr>
              <w:t>(a)</w:t>
            </w:r>
          </w:p>
        </w:tc>
      </w:tr>
      <w:tr w:rsidR="00A0211A" w:rsidTr="00F77FF1">
        <w:trPr>
          <w:trHeight w:val="255"/>
        </w:trPr>
        <w:tc>
          <w:tcPr>
            <w:tcW w:w="1209" w:type="pct"/>
            <w:tcBorders>
              <w:top w:val="single" w:sz="4" w:space="0" w:color="auto"/>
              <w:bottom w:val="single" w:sz="4" w:space="0" w:color="auto"/>
            </w:tcBorders>
            <w:shd w:val="clear" w:color="auto" w:fill="auto"/>
            <w:noWrap/>
            <w:vAlign w:val="center"/>
            <w:hideMark/>
          </w:tcPr>
          <w:p w:rsidR="00A0211A" w:rsidRDefault="00A0211A">
            <w:pPr>
              <w:rPr>
                <w:rFonts w:ascii="Arial Narrow" w:hAnsi="Arial Narrow"/>
                <w:b/>
                <w:bCs/>
                <w:color w:val="000000"/>
                <w:sz w:val="18"/>
                <w:szCs w:val="18"/>
              </w:rPr>
            </w:pPr>
            <w:r>
              <w:rPr>
                <w:rFonts w:ascii="Arial Narrow" w:hAnsi="Arial Narrow"/>
                <w:b/>
                <w:bCs/>
                <w:color w:val="000000"/>
                <w:sz w:val="18"/>
                <w:szCs w:val="18"/>
              </w:rPr>
              <w:t>Centri</w:t>
            </w:r>
          </w:p>
        </w:tc>
        <w:tc>
          <w:tcPr>
            <w:tcW w:w="468" w:type="pct"/>
            <w:tcBorders>
              <w:top w:val="single" w:sz="4" w:space="0" w:color="auto"/>
              <w:bottom w:val="single" w:sz="4" w:space="0" w:color="auto"/>
            </w:tcBorders>
            <w:shd w:val="clear" w:color="000000" w:fill="D9D9D9"/>
            <w:vAlign w:val="center"/>
            <w:hideMark/>
          </w:tcPr>
          <w:p w:rsidR="00A0211A" w:rsidRDefault="00A0211A">
            <w:pPr>
              <w:jc w:val="right"/>
              <w:rPr>
                <w:rFonts w:ascii="Arial Narrow" w:hAnsi="Arial Narrow"/>
                <w:b/>
                <w:bCs/>
                <w:color w:val="000000"/>
                <w:sz w:val="18"/>
                <w:szCs w:val="18"/>
              </w:rPr>
            </w:pPr>
            <w:r>
              <w:rPr>
                <w:rFonts w:ascii="Arial Narrow" w:hAnsi="Arial Narrow"/>
                <w:b/>
                <w:bCs/>
                <w:color w:val="000000"/>
                <w:sz w:val="18"/>
                <w:szCs w:val="18"/>
              </w:rPr>
              <w:t>5</w:t>
            </w:r>
          </w:p>
        </w:tc>
        <w:tc>
          <w:tcPr>
            <w:tcW w:w="635" w:type="pct"/>
            <w:tcBorders>
              <w:top w:val="single" w:sz="4" w:space="0" w:color="auto"/>
              <w:bottom w:val="single" w:sz="4" w:space="0" w:color="auto"/>
            </w:tcBorders>
            <w:shd w:val="clear" w:color="auto" w:fill="auto"/>
            <w:vAlign w:val="center"/>
            <w:hideMark/>
          </w:tcPr>
          <w:p w:rsidR="00A0211A" w:rsidRDefault="00A0211A">
            <w:pPr>
              <w:jc w:val="right"/>
              <w:rPr>
                <w:rFonts w:ascii="Arial Narrow" w:hAnsi="Arial Narrow"/>
                <w:b/>
                <w:bCs/>
                <w:color w:val="000000"/>
                <w:sz w:val="18"/>
                <w:szCs w:val="18"/>
              </w:rPr>
            </w:pPr>
            <w:r>
              <w:rPr>
                <w:rFonts w:ascii="Arial Narrow" w:hAnsi="Arial Narrow"/>
                <w:b/>
                <w:bCs/>
                <w:color w:val="000000"/>
                <w:sz w:val="18"/>
                <w:szCs w:val="18"/>
              </w:rPr>
              <w:t>146.713</w:t>
            </w:r>
          </w:p>
        </w:tc>
        <w:tc>
          <w:tcPr>
            <w:tcW w:w="629" w:type="pct"/>
            <w:tcBorders>
              <w:top w:val="single" w:sz="4" w:space="0" w:color="auto"/>
              <w:bottom w:val="single" w:sz="4" w:space="0" w:color="auto"/>
            </w:tcBorders>
            <w:shd w:val="clear" w:color="000000" w:fill="D9D9D9"/>
            <w:vAlign w:val="center"/>
            <w:hideMark/>
          </w:tcPr>
          <w:p w:rsidR="00A0211A" w:rsidRDefault="00A0211A">
            <w:pPr>
              <w:jc w:val="right"/>
              <w:rPr>
                <w:rFonts w:ascii="Arial Narrow" w:hAnsi="Arial Narrow"/>
                <w:b/>
                <w:bCs/>
                <w:color w:val="000000"/>
                <w:sz w:val="18"/>
                <w:szCs w:val="18"/>
              </w:rPr>
            </w:pPr>
            <w:r>
              <w:rPr>
                <w:rFonts w:ascii="Arial Narrow" w:hAnsi="Arial Narrow"/>
                <w:b/>
                <w:bCs/>
                <w:color w:val="000000"/>
                <w:sz w:val="18"/>
                <w:szCs w:val="18"/>
              </w:rPr>
              <w:t>147.245</w:t>
            </w:r>
          </w:p>
        </w:tc>
        <w:tc>
          <w:tcPr>
            <w:tcW w:w="629" w:type="pct"/>
            <w:tcBorders>
              <w:top w:val="single" w:sz="4" w:space="0" w:color="auto"/>
              <w:bottom w:val="single" w:sz="4" w:space="0" w:color="auto"/>
            </w:tcBorders>
            <w:shd w:val="clear" w:color="auto" w:fill="auto"/>
            <w:vAlign w:val="center"/>
            <w:hideMark/>
          </w:tcPr>
          <w:p w:rsidR="00A0211A" w:rsidRDefault="00A0211A">
            <w:pPr>
              <w:jc w:val="right"/>
              <w:rPr>
                <w:rFonts w:ascii="Arial Narrow" w:hAnsi="Arial Narrow"/>
                <w:b/>
                <w:bCs/>
                <w:color w:val="000000"/>
                <w:sz w:val="18"/>
                <w:szCs w:val="18"/>
              </w:rPr>
            </w:pPr>
            <w:r>
              <w:rPr>
                <w:rFonts w:ascii="Arial Narrow" w:hAnsi="Arial Narrow"/>
                <w:b/>
                <w:bCs/>
                <w:color w:val="000000"/>
                <w:sz w:val="18"/>
                <w:szCs w:val="18"/>
              </w:rPr>
              <w:t>146.524</w:t>
            </w:r>
          </w:p>
        </w:tc>
        <w:tc>
          <w:tcPr>
            <w:tcW w:w="675" w:type="pct"/>
            <w:tcBorders>
              <w:top w:val="single" w:sz="4" w:space="0" w:color="auto"/>
              <w:bottom w:val="single" w:sz="4" w:space="0" w:color="auto"/>
            </w:tcBorders>
            <w:shd w:val="clear" w:color="000000" w:fill="D9D9D9"/>
            <w:noWrap/>
            <w:vAlign w:val="center"/>
            <w:hideMark/>
          </w:tcPr>
          <w:p w:rsidR="00A0211A" w:rsidRDefault="00A0211A">
            <w:pPr>
              <w:jc w:val="right"/>
              <w:rPr>
                <w:rFonts w:ascii="Arial Narrow" w:hAnsi="Arial Narrow"/>
                <w:b/>
                <w:bCs/>
                <w:color w:val="000000"/>
                <w:sz w:val="18"/>
                <w:szCs w:val="18"/>
              </w:rPr>
            </w:pPr>
            <w:r>
              <w:rPr>
                <w:rFonts w:ascii="Arial Narrow" w:hAnsi="Arial Narrow"/>
                <w:b/>
                <w:bCs/>
                <w:color w:val="000000"/>
                <w:sz w:val="18"/>
                <w:szCs w:val="18"/>
              </w:rPr>
              <w:t>-3,6</w:t>
            </w:r>
          </w:p>
        </w:tc>
        <w:tc>
          <w:tcPr>
            <w:tcW w:w="754" w:type="pct"/>
            <w:tcBorders>
              <w:top w:val="single" w:sz="4" w:space="0" w:color="auto"/>
              <w:bottom w:val="single" w:sz="4" w:space="0" w:color="auto"/>
            </w:tcBorders>
            <w:shd w:val="clear" w:color="auto" w:fill="auto"/>
            <w:noWrap/>
            <w:vAlign w:val="center"/>
            <w:hideMark/>
          </w:tcPr>
          <w:p w:rsidR="00A0211A" w:rsidRDefault="00A0211A">
            <w:pPr>
              <w:jc w:val="right"/>
              <w:rPr>
                <w:rFonts w:ascii="Arial Narrow" w:hAnsi="Arial Narrow"/>
                <w:b/>
                <w:bCs/>
                <w:color w:val="000000"/>
                <w:sz w:val="18"/>
                <w:szCs w:val="18"/>
              </w:rPr>
            </w:pPr>
            <w:r>
              <w:rPr>
                <w:rFonts w:ascii="Arial Narrow" w:hAnsi="Arial Narrow"/>
                <w:b/>
                <w:bCs/>
                <w:color w:val="000000"/>
                <w:sz w:val="18"/>
                <w:szCs w:val="18"/>
              </w:rPr>
              <w:t>0,2</w:t>
            </w:r>
          </w:p>
        </w:tc>
      </w:tr>
      <w:tr w:rsidR="00A0211A" w:rsidTr="00F77FF1">
        <w:trPr>
          <w:trHeight w:val="255"/>
        </w:trPr>
        <w:tc>
          <w:tcPr>
            <w:tcW w:w="1209" w:type="pct"/>
            <w:tcBorders>
              <w:top w:val="single" w:sz="4" w:space="0" w:color="auto"/>
              <w:bottom w:val="single" w:sz="4" w:space="0" w:color="auto"/>
            </w:tcBorders>
            <w:shd w:val="clear" w:color="auto" w:fill="auto"/>
            <w:noWrap/>
            <w:vAlign w:val="center"/>
            <w:hideMark/>
          </w:tcPr>
          <w:p w:rsidR="00A0211A" w:rsidRDefault="00A0211A">
            <w:pPr>
              <w:ind w:firstLineChars="100" w:firstLine="180"/>
              <w:rPr>
                <w:rFonts w:ascii="Arial Narrow" w:hAnsi="Arial Narrow"/>
                <w:color w:val="000000"/>
                <w:sz w:val="18"/>
                <w:szCs w:val="18"/>
              </w:rPr>
            </w:pPr>
            <w:r>
              <w:rPr>
                <w:rFonts w:ascii="Arial Narrow" w:hAnsi="Arial Narrow"/>
                <w:color w:val="000000"/>
                <w:sz w:val="18"/>
                <w:szCs w:val="18"/>
              </w:rPr>
              <w:t xml:space="preserve"> Polo</w:t>
            </w:r>
          </w:p>
        </w:tc>
        <w:tc>
          <w:tcPr>
            <w:tcW w:w="468" w:type="pct"/>
            <w:tcBorders>
              <w:top w:val="single" w:sz="4" w:space="0" w:color="auto"/>
              <w:bottom w:val="single" w:sz="4" w:space="0" w:color="auto"/>
            </w:tcBorders>
            <w:shd w:val="clear" w:color="000000" w:fill="D9D9D9"/>
            <w:vAlign w:val="center"/>
            <w:hideMark/>
          </w:tcPr>
          <w:p w:rsidR="00A0211A" w:rsidRDefault="00A0211A">
            <w:pPr>
              <w:jc w:val="right"/>
              <w:rPr>
                <w:rFonts w:ascii="Arial Narrow" w:hAnsi="Arial Narrow"/>
                <w:color w:val="000000"/>
                <w:sz w:val="18"/>
                <w:szCs w:val="18"/>
              </w:rPr>
            </w:pPr>
            <w:r>
              <w:rPr>
                <w:rFonts w:ascii="Arial Narrow" w:hAnsi="Arial Narrow"/>
                <w:color w:val="000000"/>
                <w:sz w:val="18"/>
                <w:szCs w:val="18"/>
              </w:rPr>
              <w:t>2</w:t>
            </w:r>
          </w:p>
        </w:tc>
        <w:tc>
          <w:tcPr>
            <w:tcW w:w="635" w:type="pct"/>
            <w:tcBorders>
              <w:top w:val="single" w:sz="4" w:space="0" w:color="auto"/>
              <w:bottom w:val="single" w:sz="4" w:space="0" w:color="auto"/>
            </w:tcBorders>
            <w:shd w:val="clear" w:color="auto" w:fill="auto"/>
            <w:vAlign w:val="center"/>
            <w:hideMark/>
          </w:tcPr>
          <w:p w:rsidR="00A0211A" w:rsidRDefault="00A0211A">
            <w:pPr>
              <w:jc w:val="right"/>
              <w:rPr>
                <w:rFonts w:ascii="Arial Narrow" w:hAnsi="Arial Narrow"/>
                <w:color w:val="000000"/>
                <w:sz w:val="18"/>
                <w:szCs w:val="18"/>
              </w:rPr>
            </w:pPr>
            <w:r>
              <w:rPr>
                <w:rFonts w:ascii="Arial Narrow" w:hAnsi="Arial Narrow"/>
                <w:color w:val="000000"/>
                <w:sz w:val="18"/>
                <w:szCs w:val="18"/>
              </w:rPr>
              <w:t>126.923</w:t>
            </w:r>
          </w:p>
        </w:tc>
        <w:tc>
          <w:tcPr>
            <w:tcW w:w="629" w:type="pct"/>
            <w:tcBorders>
              <w:top w:val="single" w:sz="4" w:space="0" w:color="auto"/>
              <w:bottom w:val="single" w:sz="4" w:space="0" w:color="auto"/>
            </w:tcBorders>
            <w:shd w:val="clear" w:color="000000" w:fill="D9D9D9"/>
            <w:vAlign w:val="center"/>
            <w:hideMark/>
          </w:tcPr>
          <w:p w:rsidR="00A0211A" w:rsidRDefault="00A0211A">
            <w:pPr>
              <w:jc w:val="right"/>
              <w:rPr>
                <w:rFonts w:ascii="Arial Narrow" w:hAnsi="Arial Narrow"/>
                <w:color w:val="000000"/>
                <w:sz w:val="18"/>
                <w:szCs w:val="18"/>
              </w:rPr>
            </w:pPr>
            <w:r>
              <w:rPr>
                <w:rFonts w:ascii="Arial Narrow" w:hAnsi="Arial Narrow"/>
                <w:color w:val="000000"/>
                <w:sz w:val="18"/>
                <w:szCs w:val="18"/>
              </w:rPr>
              <w:t>127.274</w:t>
            </w:r>
          </w:p>
        </w:tc>
        <w:tc>
          <w:tcPr>
            <w:tcW w:w="629" w:type="pct"/>
            <w:tcBorders>
              <w:top w:val="single" w:sz="4" w:space="0" w:color="auto"/>
              <w:bottom w:val="single" w:sz="4" w:space="0" w:color="auto"/>
            </w:tcBorders>
            <w:shd w:val="clear" w:color="auto" w:fill="auto"/>
            <w:vAlign w:val="center"/>
            <w:hideMark/>
          </w:tcPr>
          <w:p w:rsidR="00A0211A" w:rsidRDefault="00A0211A">
            <w:pPr>
              <w:jc w:val="right"/>
              <w:rPr>
                <w:rFonts w:ascii="Arial Narrow" w:hAnsi="Arial Narrow"/>
                <w:color w:val="000000"/>
                <w:sz w:val="18"/>
                <w:szCs w:val="18"/>
              </w:rPr>
            </w:pPr>
            <w:r>
              <w:rPr>
                <w:rFonts w:ascii="Arial Narrow" w:hAnsi="Arial Narrow"/>
                <w:color w:val="000000"/>
                <w:sz w:val="18"/>
                <w:szCs w:val="18"/>
              </w:rPr>
              <w:t>126.573</w:t>
            </w:r>
          </w:p>
        </w:tc>
        <w:tc>
          <w:tcPr>
            <w:tcW w:w="675" w:type="pct"/>
            <w:tcBorders>
              <w:top w:val="single" w:sz="4" w:space="0" w:color="auto"/>
              <w:bottom w:val="single" w:sz="4" w:space="0" w:color="auto"/>
            </w:tcBorders>
            <w:shd w:val="clear" w:color="000000" w:fill="D9D9D9"/>
            <w:noWrap/>
            <w:vAlign w:val="center"/>
            <w:hideMark/>
          </w:tcPr>
          <w:p w:rsidR="00A0211A" w:rsidRDefault="00A0211A">
            <w:pPr>
              <w:jc w:val="right"/>
              <w:rPr>
                <w:rFonts w:ascii="Arial Narrow" w:hAnsi="Arial Narrow"/>
                <w:color w:val="000000"/>
                <w:sz w:val="18"/>
                <w:szCs w:val="18"/>
              </w:rPr>
            </w:pPr>
            <w:r>
              <w:rPr>
                <w:rFonts w:ascii="Arial Narrow" w:hAnsi="Arial Narrow"/>
                <w:color w:val="000000"/>
                <w:sz w:val="18"/>
                <w:szCs w:val="18"/>
              </w:rPr>
              <w:t>-2,8</w:t>
            </w:r>
          </w:p>
        </w:tc>
        <w:tc>
          <w:tcPr>
            <w:tcW w:w="754" w:type="pct"/>
            <w:tcBorders>
              <w:top w:val="single" w:sz="4" w:space="0" w:color="auto"/>
              <w:bottom w:val="single" w:sz="4" w:space="0" w:color="auto"/>
            </w:tcBorders>
            <w:shd w:val="clear" w:color="auto" w:fill="auto"/>
            <w:noWrap/>
            <w:vAlign w:val="center"/>
            <w:hideMark/>
          </w:tcPr>
          <w:p w:rsidR="00A0211A" w:rsidRDefault="00A0211A">
            <w:pPr>
              <w:jc w:val="right"/>
              <w:rPr>
                <w:rFonts w:ascii="Arial Narrow" w:hAnsi="Arial Narrow"/>
                <w:color w:val="000000"/>
                <w:sz w:val="18"/>
                <w:szCs w:val="18"/>
              </w:rPr>
            </w:pPr>
            <w:r>
              <w:rPr>
                <w:rFonts w:ascii="Arial Narrow" w:hAnsi="Arial Narrow"/>
                <w:color w:val="000000"/>
                <w:sz w:val="18"/>
                <w:szCs w:val="18"/>
              </w:rPr>
              <w:t>0,3</w:t>
            </w:r>
          </w:p>
        </w:tc>
      </w:tr>
      <w:tr w:rsidR="00A0211A" w:rsidTr="00F77FF1">
        <w:trPr>
          <w:trHeight w:val="255"/>
        </w:trPr>
        <w:tc>
          <w:tcPr>
            <w:tcW w:w="1209" w:type="pct"/>
            <w:tcBorders>
              <w:top w:val="single" w:sz="4" w:space="0" w:color="auto"/>
              <w:bottom w:val="single" w:sz="4" w:space="0" w:color="auto"/>
            </w:tcBorders>
            <w:shd w:val="clear" w:color="auto" w:fill="auto"/>
            <w:noWrap/>
            <w:vAlign w:val="center"/>
            <w:hideMark/>
          </w:tcPr>
          <w:p w:rsidR="00A0211A" w:rsidRDefault="00A0211A">
            <w:pPr>
              <w:ind w:firstLineChars="100" w:firstLine="180"/>
              <w:rPr>
                <w:rFonts w:ascii="Arial Narrow" w:hAnsi="Arial Narrow"/>
                <w:color w:val="000000"/>
                <w:sz w:val="18"/>
                <w:szCs w:val="18"/>
              </w:rPr>
            </w:pPr>
            <w:r>
              <w:rPr>
                <w:rFonts w:ascii="Arial Narrow" w:hAnsi="Arial Narrow"/>
                <w:color w:val="000000"/>
                <w:sz w:val="18"/>
                <w:szCs w:val="18"/>
              </w:rPr>
              <w:t xml:space="preserve"> Cintura</w:t>
            </w:r>
          </w:p>
        </w:tc>
        <w:tc>
          <w:tcPr>
            <w:tcW w:w="468" w:type="pct"/>
            <w:tcBorders>
              <w:top w:val="single" w:sz="4" w:space="0" w:color="auto"/>
              <w:bottom w:val="single" w:sz="4" w:space="0" w:color="auto"/>
            </w:tcBorders>
            <w:shd w:val="clear" w:color="000000" w:fill="D9D9D9"/>
            <w:vAlign w:val="center"/>
            <w:hideMark/>
          </w:tcPr>
          <w:p w:rsidR="00A0211A" w:rsidRDefault="00A0211A">
            <w:pPr>
              <w:jc w:val="right"/>
              <w:rPr>
                <w:rFonts w:ascii="Arial Narrow" w:hAnsi="Arial Narrow"/>
                <w:color w:val="000000"/>
                <w:sz w:val="18"/>
                <w:szCs w:val="18"/>
              </w:rPr>
            </w:pPr>
            <w:r>
              <w:rPr>
                <w:rFonts w:ascii="Arial Narrow" w:hAnsi="Arial Narrow"/>
                <w:color w:val="000000"/>
                <w:sz w:val="18"/>
                <w:szCs w:val="18"/>
              </w:rPr>
              <w:t>3</w:t>
            </w:r>
          </w:p>
        </w:tc>
        <w:tc>
          <w:tcPr>
            <w:tcW w:w="635" w:type="pct"/>
            <w:tcBorders>
              <w:top w:val="single" w:sz="4" w:space="0" w:color="auto"/>
              <w:bottom w:val="single" w:sz="4" w:space="0" w:color="auto"/>
            </w:tcBorders>
            <w:shd w:val="clear" w:color="auto" w:fill="auto"/>
            <w:vAlign w:val="center"/>
            <w:hideMark/>
          </w:tcPr>
          <w:p w:rsidR="00A0211A" w:rsidRDefault="00A0211A">
            <w:pPr>
              <w:jc w:val="right"/>
              <w:rPr>
                <w:rFonts w:ascii="Arial Narrow" w:hAnsi="Arial Narrow"/>
                <w:color w:val="000000"/>
                <w:sz w:val="18"/>
                <w:szCs w:val="18"/>
              </w:rPr>
            </w:pPr>
            <w:r>
              <w:rPr>
                <w:rFonts w:ascii="Arial Narrow" w:hAnsi="Arial Narrow"/>
                <w:color w:val="000000"/>
                <w:sz w:val="18"/>
                <w:szCs w:val="18"/>
              </w:rPr>
              <w:t>19.790</w:t>
            </w:r>
          </w:p>
        </w:tc>
        <w:tc>
          <w:tcPr>
            <w:tcW w:w="629" w:type="pct"/>
            <w:tcBorders>
              <w:top w:val="single" w:sz="4" w:space="0" w:color="auto"/>
              <w:bottom w:val="single" w:sz="4" w:space="0" w:color="auto"/>
            </w:tcBorders>
            <w:shd w:val="clear" w:color="000000" w:fill="D9D9D9"/>
            <w:vAlign w:val="center"/>
            <w:hideMark/>
          </w:tcPr>
          <w:p w:rsidR="00A0211A" w:rsidRDefault="00A0211A">
            <w:pPr>
              <w:jc w:val="right"/>
              <w:rPr>
                <w:rFonts w:ascii="Arial Narrow" w:hAnsi="Arial Narrow"/>
                <w:color w:val="000000"/>
                <w:sz w:val="18"/>
                <w:szCs w:val="18"/>
              </w:rPr>
            </w:pPr>
            <w:r>
              <w:rPr>
                <w:rFonts w:ascii="Arial Narrow" w:hAnsi="Arial Narrow"/>
                <w:color w:val="000000"/>
                <w:sz w:val="18"/>
                <w:szCs w:val="18"/>
              </w:rPr>
              <w:t>19.971</w:t>
            </w:r>
          </w:p>
        </w:tc>
        <w:tc>
          <w:tcPr>
            <w:tcW w:w="629" w:type="pct"/>
            <w:tcBorders>
              <w:top w:val="single" w:sz="4" w:space="0" w:color="auto"/>
              <w:bottom w:val="single" w:sz="4" w:space="0" w:color="auto"/>
            </w:tcBorders>
            <w:shd w:val="clear" w:color="auto" w:fill="auto"/>
            <w:vAlign w:val="center"/>
            <w:hideMark/>
          </w:tcPr>
          <w:p w:rsidR="00A0211A" w:rsidRDefault="00A0211A">
            <w:pPr>
              <w:jc w:val="right"/>
              <w:rPr>
                <w:rFonts w:ascii="Arial Narrow" w:hAnsi="Arial Narrow"/>
                <w:color w:val="000000"/>
                <w:sz w:val="18"/>
                <w:szCs w:val="18"/>
              </w:rPr>
            </w:pPr>
            <w:r>
              <w:rPr>
                <w:rFonts w:ascii="Arial Narrow" w:hAnsi="Arial Narrow"/>
                <w:color w:val="000000"/>
                <w:sz w:val="18"/>
                <w:szCs w:val="18"/>
              </w:rPr>
              <w:t>19.951</w:t>
            </w:r>
          </w:p>
        </w:tc>
        <w:tc>
          <w:tcPr>
            <w:tcW w:w="675" w:type="pct"/>
            <w:tcBorders>
              <w:top w:val="single" w:sz="4" w:space="0" w:color="auto"/>
              <w:bottom w:val="single" w:sz="4" w:space="0" w:color="auto"/>
            </w:tcBorders>
            <w:shd w:val="clear" w:color="000000" w:fill="D9D9D9"/>
            <w:noWrap/>
            <w:vAlign w:val="center"/>
            <w:hideMark/>
          </w:tcPr>
          <w:p w:rsidR="00A0211A" w:rsidRDefault="00A0211A">
            <w:pPr>
              <w:jc w:val="right"/>
              <w:rPr>
                <w:rFonts w:ascii="Arial Narrow" w:hAnsi="Arial Narrow"/>
                <w:color w:val="000000"/>
                <w:sz w:val="18"/>
                <w:szCs w:val="18"/>
              </w:rPr>
            </w:pPr>
            <w:r>
              <w:rPr>
                <w:rFonts w:ascii="Arial Narrow" w:hAnsi="Arial Narrow"/>
                <w:color w:val="000000"/>
                <w:sz w:val="18"/>
                <w:szCs w:val="18"/>
              </w:rPr>
              <w:t>-9,1</w:t>
            </w:r>
          </w:p>
        </w:tc>
        <w:tc>
          <w:tcPr>
            <w:tcW w:w="754" w:type="pct"/>
            <w:tcBorders>
              <w:top w:val="single" w:sz="4" w:space="0" w:color="auto"/>
              <w:bottom w:val="single" w:sz="4" w:space="0" w:color="auto"/>
            </w:tcBorders>
            <w:shd w:val="clear" w:color="auto" w:fill="auto"/>
            <w:noWrap/>
            <w:vAlign w:val="center"/>
            <w:hideMark/>
          </w:tcPr>
          <w:p w:rsidR="00A0211A" w:rsidRDefault="00A0211A">
            <w:pPr>
              <w:jc w:val="right"/>
              <w:rPr>
                <w:rFonts w:ascii="Arial Narrow" w:hAnsi="Arial Narrow"/>
                <w:color w:val="000000"/>
                <w:sz w:val="18"/>
                <w:szCs w:val="18"/>
              </w:rPr>
            </w:pPr>
            <w:r>
              <w:rPr>
                <w:rFonts w:ascii="Arial Narrow" w:hAnsi="Arial Narrow"/>
                <w:color w:val="000000"/>
                <w:sz w:val="18"/>
                <w:szCs w:val="18"/>
              </w:rPr>
              <w:t>-1,0</w:t>
            </w:r>
          </w:p>
        </w:tc>
      </w:tr>
      <w:tr w:rsidR="00A0211A" w:rsidTr="00F77FF1">
        <w:trPr>
          <w:trHeight w:val="255"/>
        </w:trPr>
        <w:tc>
          <w:tcPr>
            <w:tcW w:w="1209" w:type="pct"/>
            <w:tcBorders>
              <w:top w:val="single" w:sz="4" w:space="0" w:color="auto"/>
              <w:bottom w:val="single" w:sz="4" w:space="0" w:color="auto"/>
            </w:tcBorders>
            <w:shd w:val="clear" w:color="auto" w:fill="auto"/>
            <w:noWrap/>
            <w:vAlign w:val="center"/>
            <w:hideMark/>
          </w:tcPr>
          <w:p w:rsidR="00A0211A" w:rsidRDefault="00A0211A">
            <w:pPr>
              <w:rPr>
                <w:rFonts w:ascii="Arial Narrow" w:hAnsi="Arial Narrow"/>
                <w:b/>
                <w:bCs/>
                <w:color w:val="000000"/>
                <w:sz w:val="18"/>
                <w:szCs w:val="18"/>
              </w:rPr>
            </w:pPr>
            <w:r>
              <w:rPr>
                <w:rFonts w:ascii="Arial Narrow" w:hAnsi="Arial Narrow"/>
                <w:b/>
                <w:bCs/>
                <w:color w:val="000000"/>
                <w:sz w:val="18"/>
                <w:szCs w:val="18"/>
              </w:rPr>
              <w:t>Aree interne</w:t>
            </w:r>
          </w:p>
        </w:tc>
        <w:tc>
          <w:tcPr>
            <w:tcW w:w="468" w:type="pct"/>
            <w:tcBorders>
              <w:top w:val="single" w:sz="4" w:space="0" w:color="auto"/>
              <w:bottom w:val="single" w:sz="4" w:space="0" w:color="auto"/>
            </w:tcBorders>
            <w:shd w:val="clear" w:color="000000" w:fill="D9D9D9"/>
            <w:vAlign w:val="center"/>
            <w:hideMark/>
          </w:tcPr>
          <w:p w:rsidR="00A0211A" w:rsidRDefault="00A0211A">
            <w:pPr>
              <w:jc w:val="right"/>
              <w:rPr>
                <w:rFonts w:ascii="Arial Narrow" w:hAnsi="Arial Narrow"/>
                <w:b/>
                <w:bCs/>
                <w:color w:val="000000"/>
                <w:sz w:val="18"/>
                <w:szCs w:val="18"/>
              </w:rPr>
            </w:pPr>
            <w:r>
              <w:rPr>
                <w:rFonts w:ascii="Arial Narrow" w:hAnsi="Arial Narrow"/>
                <w:b/>
                <w:bCs/>
                <w:color w:val="000000"/>
                <w:sz w:val="18"/>
                <w:szCs w:val="18"/>
              </w:rPr>
              <w:t>126</w:t>
            </w:r>
          </w:p>
        </w:tc>
        <w:tc>
          <w:tcPr>
            <w:tcW w:w="635" w:type="pct"/>
            <w:tcBorders>
              <w:top w:val="single" w:sz="4" w:space="0" w:color="auto"/>
              <w:bottom w:val="single" w:sz="4" w:space="0" w:color="auto"/>
            </w:tcBorders>
            <w:shd w:val="clear" w:color="auto" w:fill="auto"/>
            <w:vAlign w:val="center"/>
            <w:hideMark/>
          </w:tcPr>
          <w:p w:rsidR="00A0211A" w:rsidRDefault="00A0211A">
            <w:pPr>
              <w:jc w:val="right"/>
              <w:rPr>
                <w:rFonts w:ascii="Arial Narrow" w:hAnsi="Arial Narrow"/>
                <w:b/>
                <w:bCs/>
                <w:color w:val="000000"/>
                <w:sz w:val="18"/>
                <w:szCs w:val="18"/>
              </w:rPr>
            </w:pPr>
            <w:r>
              <w:rPr>
                <w:rFonts w:ascii="Arial Narrow" w:hAnsi="Arial Narrow"/>
                <w:b/>
                <w:bCs/>
                <w:color w:val="000000"/>
                <w:sz w:val="18"/>
                <w:szCs w:val="18"/>
              </w:rPr>
              <w:t>406.541</w:t>
            </w:r>
          </w:p>
        </w:tc>
        <w:tc>
          <w:tcPr>
            <w:tcW w:w="629" w:type="pct"/>
            <w:tcBorders>
              <w:top w:val="single" w:sz="4" w:space="0" w:color="auto"/>
              <w:bottom w:val="single" w:sz="4" w:space="0" w:color="auto"/>
            </w:tcBorders>
            <w:shd w:val="clear" w:color="000000" w:fill="D9D9D9"/>
            <w:vAlign w:val="center"/>
            <w:hideMark/>
          </w:tcPr>
          <w:p w:rsidR="00A0211A" w:rsidRDefault="00A0211A">
            <w:pPr>
              <w:jc w:val="right"/>
              <w:rPr>
                <w:rFonts w:ascii="Arial Narrow" w:hAnsi="Arial Narrow"/>
                <w:b/>
                <w:bCs/>
                <w:color w:val="000000"/>
                <w:sz w:val="18"/>
                <w:szCs w:val="18"/>
              </w:rPr>
            </w:pPr>
            <w:r>
              <w:rPr>
                <w:rFonts w:ascii="Arial Narrow" w:hAnsi="Arial Narrow"/>
                <w:b/>
                <w:bCs/>
                <w:color w:val="000000"/>
                <w:sz w:val="18"/>
                <w:szCs w:val="18"/>
              </w:rPr>
              <w:t>411.342</w:t>
            </w:r>
          </w:p>
        </w:tc>
        <w:tc>
          <w:tcPr>
            <w:tcW w:w="629" w:type="pct"/>
            <w:tcBorders>
              <w:top w:val="single" w:sz="4" w:space="0" w:color="auto"/>
              <w:bottom w:val="single" w:sz="4" w:space="0" w:color="auto"/>
            </w:tcBorders>
            <w:shd w:val="clear" w:color="auto" w:fill="auto"/>
            <w:vAlign w:val="center"/>
            <w:hideMark/>
          </w:tcPr>
          <w:p w:rsidR="00A0211A" w:rsidRDefault="00A0211A">
            <w:pPr>
              <w:jc w:val="right"/>
              <w:rPr>
                <w:rFonts w:ascii="Arial Narrow" w:hAnsi="Arial Narrow"/>
                <w:b/>
                <w:bCs/>
                <w:color w:val="000000"/>
                <w:sz w:val="18"/>
                <w:szCs w:val="18"/>
              </w:rPr>
            </w:pPr>
            <w:r>
              <w:rPr>
                <w:rFonts w:ascii="Arial Narrow" w:hAnsi="Arial Narrow"/>
                <w:b/>
                <w:bCs/>
                <w:color w:val="000000"/>
                <w:sz w:val="18"/>
                <w:szCs w:val="18"/>
              </w:rPr>
              <w:t>431.512</w:t>
            </w:r>
          </w:p>
        </w:tc>
        <w:tc>
          <w:tcPr>
            <w:tcW w:w="675" w:type="pct"/>
            <w:tcBorders>
              <w:top w:val="single" w:sz="4" w:space="0" w:color="auto"/>
              <w:bottom w:val="single" w:sz="4" w:space="0" w:color="auto"/>
            </w:tcBorders>
            <w:shd w:val="clear" w:color="000000" w:fill="D9D9D9"/>
            <w:noWrap/>
            <w:vAlign w:val="center"/>
            <w:hideMark/>
          </w:tcPr>
          <w:p w:rsidR="00A0211A" w:rsidRDefault="00A0211A">
            <w:pPr>
              <w:jc w:val="right"/>
              <w:rPr>
                <w:rFonts w:ascii="Arial Narrow" w:hAnsi="Arial Narrow"/>
                <w:b/>
                <w:bCs/>
                <w:color w:val="000000"/>
                <w:sz w:val="18"/>
                <w:szCs w:val="18"/>
              </w:rPr>
            </w:pPr>
            <w:r>
              <w:rPr>
                <w:rFonts w:ascii="Arial Narrow" w:hAnsi="Arial Narrow"/>
                <w:b/>
                <w:bCs/>
                <w:color w:val="000000"/>
                <w:sz w:val="18"/>
                <w:szCs w:val="18"/>
              </w:rPr>
              <w:t>-11,7</w:t>
            </w:r>
          </w:p>
        </w:tc>
        <w:tc>
          <w:tcPr>
            <w:tcW w:w="754" w:type="pct"/>
            <w:tcBorders>
              <w:top w:val="single" w:sz="4" w:space="0" w:color="auto"/>
              <w:bottom w:val="single" w:sz="4" w:space="0" w:color="auto"/>
            </w:tcBorders>
            <w:shd w:val="clear" w:color="auto" w:fill="auto"/>
            <w:noWrap/>
            <w:vAlign w:val="center"/>
            <w:hideMark/>
          </w:tcPr>
          <w:p w:rsidR="00A0211A" w:rsidRDefault="00A0211A">
            <w:pPr>
              <w:jc w:val="right"/>
              <w:rPr>
                <w:rFonts w:ascii="Arial Narrow" w:hAnsi="Arial Narrow"/>
                <w:b/>
                <w:bCs/>
                <w:color w:val="000000"/>
                <w:sz w:val="18"/>
                <w:szCs w:val="18"/>
              </w:rPr>
            </w:pPr>
            <w:r>
              <w:rPr>
                <w:rFonts w:ascii="Arial Narrow" w:hAnsi="Arial Narrow"/>
                <w:b/>
                <w:bCs/>
                <w:color w:val="000000"/>
                <w:sz w:val="18"/>
                <w:szCs w:val="18"/>
              </w:rPr>
              <w:t>-7,4</w:t>
            </w:r>
          </w:p>
        </w:tc>
      </w:tr>
      <w:tr w:rsidR="00A0211A" w:rsidTr="00F77FF1">
        <w:trPr>
          <w:trHeight w:val="255"/>
        </w:trPr>
        <w:tc>
          <w:tcPr>
            <w:tcW w:w="1209" w:type="pct"/>
            <w:tcBorders>
              <w:top w:val="single" w:sz="4" w:space="0" w:color="auto"/>
              <w:bottom w:val="single" w:sz="4" w:space="0" w:color="auto"/>
            </w:tcBorders>
            <w:shd w:val="clear" w:color="auto" w:fill="auto"/>
            <w:noWrap/>
            <w:vAlign w:val="center"/>
            <w:hideMark/>
          </w:tcPr>
          <w:p w:rsidR="00A0211A" w:rsidRDefault="00A0211A">
            <w:pPr>
              <w:ind w:firstLineChars="100" w:firstLine="180"/>
              <w:rPr>
                <w:rFonts w:ascii="Arial Narrow" w:hAnsi="Arial Narrow"/>
                <w:color w:val="000000"/>
                <w:sz w:val="18"/>
                <w:szCs w:val="18"/>
              </w:rPr>
            </w:pPr>
            <w:r>
              <w:rPr>
                <w:rFonts w:ascii="Arial Narrow" w:hAnsi="Arial Narrow"/>
                <w:color w:val="000000"/>
                <w:sz w:val="18"/>
                <w:szCs w:val="18"/>
              </w:rPr>
              <w:t xml:space="preserve"> Intermedio </w:t>
            </w:r>
          </w:p>
        </w:tc>
        <w:tc>
          <w:tcPr>
            <w:tcW w:w="468" w:type="pct"/>
            <w:tcBorders>
              <w:top w:val="single" w:sz="4" w:space="0" w:color="auto"/>
              <w:bottom w:val="single" w:sz="4" w:space="0" w:color="auto"/>
            </w:tcBorders>
            <w:shd w:val="clear" w:color="000000" w:fill="D9D9D9"/>
            <w:vAlign w:val="center"/>
            <w:hideMark/>
          </w:tcPr>
          <w:p w:rsidR="00A0211A" w:rsidRDefault="00A0211A">
            <w:pPr>
              <w:jc w:val="right"/>
              <w:rPr>
                <w:rFonts w:ascii="Arial Narrow" w:hAnsi="Arial Narrow"/>
                <w:color w:val="000000"/>
                <w:sz w:val="18"/>
                <w:szCs w:val="18"/>
              </w:rPr>
            </w:pPr>
            <w:r>
              <w:rPr>
                <w:rFonts w:ascii="Arial Narrow" w:hAnsi="Arial Narrow"/>
                <w:color w:val="000000"/>
                <w:sz w:val="18"/>
                <w:szCs w:val="18"/>
              </w:rPr>
              <w:t>16</w:t>
            </w:r>
          </w:p>
        </w:tc>
        <w:tc>
          <w:tcPr>
            <w:tcW w:w="635" w:type="pct"/>
            <w:tcBorders>
              <w:top w:val="single" w:sz="4" w:space="0" w:color="auto"/>
              <w:bottom w:val="single" w:sz="4" w:space="0" w:color="auto"/>
            </w:tcBorders>
            <w:shd w:val="clear" w:color="auto" w:fill="auto"/>
            <w:vAlign w:val="center"/>
            <w:hideMark/>
          </w:tcPr>
          <w:p w:rsidR="00A0211A" w:rsidRDefault="00A0211A">
            <w:pPr>
              <w:jc w:val="right"/>
              <w:rPr>
                <w:rFonts w:ascii="Arial Narrow" w:hAnsi="Arial Narrow"/>
                <w:color w:val="000000"/>
                <w:sz w:val="18"/>
                <w:szCs w:val="18"/>
              </w:rPr>
            </w:pPr>
            <w:r>
              <w:rPr>
                <w:rFonts w:ascii="Arial Narrow" w:hAnsi="Arial Narrow"/>
                <w:color w:val="000000"/>
                <w:sz w:val="18"/>
                <w:szCs w:val="18"/>
              </w:rPr>
              <w:t>68.593</w:t>
            </w:r>
          </w:p>
        </w:tc>
        <w:tc>
          <w:tcPr>
            <w:tcW w:w="629" w:type="pct"/>
            <w:tcBorders>
              <w:top w:val="single" w:sz="4" w:space="0" w:color="auto"/>
              <w:bottom w:val="single" w:sz="4" w:space="0" w:color="auto"/>
            </w:tcBorders>
            <w:shd w:val="clear" w:color="000000" w:fill="D9D9D9"/>
            <w:vAlign w:val="center"/>
            <w:hideMark/>
          </w:tcPr>
          <w:p w:rsidR="00A0211A" w:rsidRDefault="00A0211A">
            <w:pPr>
              <w:jc w:val="right"/>
              <w:rPr>
                <w:rFonts w:ascii="Arial Narrow" w:hAnsi="Arial Narrow"/>
                <w:color w:val="000000"/>
                <w:sz w:val="18"/>
                <w:szCs w:val="18"/>
              </w:rPr>
            </w:pPr>
            <w:r>
              <w:rPr>
                <w:rFonts w:ascii="Arial Narrow" w:hAnsi="Arial Narrow"/>
                <w:color w:val="000000"/>
                <w:sz w:val="18"/>
                <w:szCs w:val="18"/>
              </w:rPr>
              <w:t>69.270</w:t>
            </w:r>
          </w:p>
        </w:tc>
        <w:tc>
          <w:tcPr>
            <w:tcW w:w="629" w:type="pct"/>
            <w:tcBorders>
              <w:top w:val="single" w:sz="4" w:space="0" w:color="auto"/>
              <w:bottom w:val="single" w:sz="4" w:space="0" w:color="auto"/>
            </w:tcBorders>
            <w:shd w:val="clear" w:color="auto" w:fill="auto"/>
            <w:vAlign w:val="center"/>
            <w:hideMark/>
          </w:tcPr>
          <w:p w:rsidR="00A0211A" w:rsidRDefault="00A0211A">
            <w:pPr>
              <w:jc w:val="right"/>
              <w:rPr>
                <w:rFonts w:ascii="Arial Narrow" w:hAnsi="Arial Narrow"/>
                <w:color w:val="000000"/>
                <w:sz w:val="18"/>
                <w:szCs w:val="18"/>
              </w:rPr>
            </w:pPr>
            <w:r>
              <w:rPr>
                <w:rFonts w:ascii="Arial Narrow" w:hAnsi="Arial Narrow"/>
                <w:color w:val="000000"/>
                <w:sz w:val="18"/>
                <w:szCs w:val="18"/>
              </w:rPr>
              <w:t>72.247</w:t>
            </w:r>
          </w:p>
        </w:tc>
        <w:tc>
          <w:tcPr>
            <w:tcW w:w="675" w:type="pct"/>
            <w:tcBorders>
              <w:top w:val="single" w:sz="4" w:space="0" w:color="auto"/>
              <w:bottom w:val="single" w:sz="4" w:space="0" w:color="auto"/>
            </w:tcBorders>
            <w:shd w:val="clear" w:color="000000" w:fill="D9D9D9"/>
            <w:noWrap/>
            <w:vAlign w:val="center"/>
            <w:hideMark/>
          </w:tcPr>
          <w:p w:rsidR="00A0211A" w:rsidRDefault="00A0211A">
            <w:pPr>
              <w:jc w:val="right"/>
              <w:rPr>
                <w:rFonts w:ascii="Arial Narrow" w:hAnsi="Arial Narrow"/>
                <w:color w:val="000000"/>
                <w:sz w:val="18"/>
                <w:szCs w:val="18"/>
              </w:rPr>
            </w:pPr>
            <w:r>
              <w:rPr>
                <w:rFonts w:ascii="Arial Narrow" w:hAnsi="Arial Narrow"/>
                <w:color w:val="000000"/>
                <w:sz w:val="18"/>
                <w:szCs w:val="18"/>
              </w:rPr>
              <w:t>-9,8</w:t>
            </w:r>
          </w:p>
        </w:tc>
        <w:tc>
          <w:tcPr>
            <w:tcW w:w="754" w:type="pct"/>
            <w:tcBorders>
              <w:top w:val="single" w:sz="4" w:space="0" w:color="auto"/>
              <w:bottom w:val="single" w:sz="4" w:space="0" w:color="auto"/>
            </w:tcBorders>
            <w:shd w:val="clear" w:color="auto" w:fill="auto"/>
            <w:noWrap/>
            <w:vAlign w:val="center"/>
            <w:hideMark/>
          </w:tcPr>
          <w:p w:rsidR="00A0211A" w:rsidRDefault="00A0211A">
            <w:pPr>
              <w:jc w:val="right"/>
              <w:rPr>
                <w:rFonts w:ascii="Arial Narrow" w:hAnsi="Arial Narrow"/>
                <w:color w:val="000000"/>
                <w:sz w:val="18"/>
                <w:szCs w:val="18"/>
              </w:rPr>
            </w:pPr>
            <w:r>
              <w:rPr>
                <w:rFonts w:ascii="Arial Narrow" w:hAnsi="Arial Narrow"/>
                <w:color w:val="000000"/>
                <w:sz w:val="18"/>
                <w:szCs w:val="18"/>
              </w:rPr>
              <w:t>-6,467</w:t>
            </w:r>
          </w:p>
        </w:tc>
      </w:tr>
      <w:tr w:rsidR="00A0211A" w:rsidTr="00F77FF1">
        <w:trPr>
          <w:trHeight w:val="255"/>
        </w:trPr>
        <w:tc>
          <w:tcPr>
            <w:tcW w:w="1209" w:type="pct"/>
            <w:tcBorders>
              <w:top w:val="single" w:sz="4" w:space="0" w:color="auto"/>
              <w:bottom w:val="single" w:sz="4" w:space="0" w:color="auto"/>
            </w:tcBorders>
            <w:shd w:val="clear" w:color="auto" w:fill="auto"/>
            <w:noWrap/>
            <w:vAlign w:val="center"/>
            <w:hideMark/>
          </w:tcPr>
          <w:p w:rsidR="00A0211A" w:rsidRDefault="00A0211A">
            <w:pPr>
              <w:ind w:firstLineChars="100" w:firstLine="180"/>
              <w:rPr>
                <w:rFonts w:ascii="Arial Narrow" w:hAnsi="Arial Narrow"/>
                <w:color w:val="000000"/>
                <w:sz w:val="18"/>
                <w:szCs w:val="18"/>
              </w:rPr>
            </w:pPr>
            <w:r>
              <w:rPr>
                <w:rFonts w:ascii="Arial Narrow" w:hAnsi="Arial Narrow"/>
                <w:color w:val="000000"/>
                <w:sz w:val="18"/>
                <w:szCs w:val="18"/>
              </w:rPr>
              <w:t xml:space="preserve"> Periferico</w:t>
            </w:r>
          </w:p>
        </w:tc>
        <w:tc>
          <w:tcPr>
            <w:tcW w:w="468" w:type="pct"/>
            <w:tcBorders>
              <w:top w:val="single" w:sz="4" w:space="0" w:color="auto"/>
              <w:bottom w:val="single" w:sz="4" w:space="0" w:color="auto"/>
            </w:tcBorders>
            <w:shd w:val="clear" w:color="000000" w:fill="D9D9D9"/>
            <w:vAlign w:val="center"/>
            <w:hideMark/>
          </w:tcPr>
          <w:p w:rsidR="00A0211A" w:rsidRDefault="00A0211A">
            <w:pPr>
              <w:jc w:val="right"/>
              <w:rPr>
                <w:rFonts w:ascii="Arial Narrow" w:hAnsi="Arial Narrow"/>
                <w:color w:val="000000"/>
                <w:sz w:val="18"/>
                <w:szCs w:val="18"/>
              </w:rPr>
            </w:pPr>
            <w:r>
              <w:rPr>
                <w:rFonts w:ascii="Arial Narrow" w:hAnsi="Arial Narrow"/>
                <w:color w:val="000000"/>
                <w:sz w:val="18"/>
                <w:szCs w:val="18"/>
              </w:rPr>
              <w:t>59</w:t>
            </w:r>
          </w:p>
        </w:tc>
        <w:tc>
          <w:tcPr>
            <w:tcW w:w="635" w:type="pct"/>
            <w:tcBorders>
              <w:top w:val="single" w:sz="4" w:space="0" w:color="auto"/>
              <w:bottom w:val="single" w:sz="4" w:space="0" w:color="auto"/>
            </w:tcBorders>
            <w:shd w:val="clear" w:color="auto" w:fill="auto"/>
            <w:vAlign w:val="center"/>
            <w:hideMark/>
          </w:tcPr>
          <w:p w:rsidR="00A0211A" w:rsidRDefault="00A0211A">
            <w:pPr>
              <w:jc w:val="right"/>
              <w:rPr>
                <w:rFonts w:ascii="Arial Narrow" w:hAnsi="Arial Narrow"/>
                <w:color w:val="000000"/>
                <w:sz w:val="18"/>
                <w:szCs w:val="18"/>
              </w:rPr>
            </w:pPr>
            <w:r>
              <w:rPr>
                <w:rFonts w:ascii="Arial Narrow" w:hAnsi="Arial Narrow"/>
                <w:color w:val="000000"/>
                <w:sz w:val="18"/>
                <w:szCs w:val="18"/>
              </w:rPr>
              <w:t>238.596</w:t>
            </w:r>
          </w:p>
        </w:tc>
        <w:tc>
          <w:tcPr>
            <w:tcW w:w="629" w:type="pct"/>
            <w:tcBorders>
              <w:top w:val="single" w:sz="4" w:space="0" w:color="auto"/>
              <w:bottom w:val="single" w:sz="4" w:space="0" w:color="auto"/>
            </w:tcBorders>
            <w:shd w:val="clear" w:color="000000" w:fill="D9D9D9"/>
            <w:vAlign w:val="center"/>
            <w:hideMark/>
          </w:tcPr>
          <w:p w:rsidR="00A0211A" w:rsidRDefault="00A0211A">
            <w:pPr>
              <w:jc w:val="right"/>
              <w:rPr>
                <w:rFonts w:ascii="Arial Narrow" w:hAnsi="Arial Narrow"/>
                <w:color w:val="000000"/>
                <w:sz w:val="18"/>
                <w:szCs w:val="18"/>
              </w:rPr>
            </w:pPr>
            <w:r>
              <w:rPr>
                <w:rFonts w:ascii="Arial Narrow" w:hAnsi="Arial Narrow"/>
                <w:color w:val="000000"/>
                <w:sz w:val="18"/>
                <w:szCs w:val="18"/>
              </w:rPr>
              <w:t>241.280</w:t>
            </w:r>
          </w:p>
        </w:tc>
        <w:tc>
          <w:tcPr>
            <w:tcW w:w="629" w:type="pct"/>
            <w:tcBorders>
              <w:top w:val="single" w:sz="4" w:space="0" w:color="auto"/>
              <w:bottom w:val="single" w:sz="4" w:space="0" w:color="auto"/>
            </w:tcBorders>
            <w:shd w:val="clear" w:color="auto" w:fill="auto"/>
            <w:vAlign w:val="center"/>
            <w:hideMark/>
          </w:tcPr>
          <w:p w:rsidR="00A0211A" w:rsidRDefault="00A0211A">
            <w:pPr>
              <w:jc w:val="right"/>
              <w:rPr>
                <w:rFonts w:ascii="Arial Narrow" w:hAnsi="Arial Narrow"/>
                <w:color w:val="000000"/>
                <w:sz w:val="18"/>
                <w:szCs w:val="18"/>
              </w:rPr>
            </w:pPr>
            <w:r>
              <w:rPr>
                <w:rFonts w:ascii="Arial Narrow" w:hAnsi="Arial Narrow"/>
                <w:color w:val="000000"/>
                <w:sz w:val="18"/>
                <w:szCs w:val="18"/>
              </w:rPr>
              <w:t>251.099</w:t>
            </w:r>
          </w:p>
        </w:tc>
        <w:tc>
          <w:tcPr>
            <w:tcW w:w="675" w:type="pct"/>
            <w:tcBorders>
              <w:top w:val="single" w:sz="4" w:space="0" w:color="auto"/>
              <w:bottom w:val="single" w:sz="4" w:space="0" w:color="auto"/>
            </w:tcBorders>
            <w:shd w:val="clear" w:color="000000" w:fill="D9D9D9"/>
            <w:noWrap/>
            <w:vAlign w:val="center"/>
            <w:hideMark/>
          </w:tcPr>
          <w:p w:rsidR="00A0211A" w:rsidRDefault="00A0211A">
            <w:pPr>
              <w:jc w:val="right"/>
              <w:rPr>
                <w:rFonts w:ascii="Arial Narrow" w:hAnsi="Arial Narrow"/>
                <w:color w:val="000000"/>
                <w:sz w:val="18"/>
                <w:szCs w:val="18"/>
              </w:rPr>
            </w:pPr>
            <w:r>
              <w:rPr>
                <w:rFonts w:ascii="Arial Narrow" w:hAnsi="Arial Narrow"/>
                <w:color w:val="000000"/>
                <w:sz w:val="18"/>
                <w:szCs w:val="18"/>
              </w:rPr>
              <w:t>-11,1</w:t>
            </w:r>
          </w:p>
        </w:tc>
        <w:tc>
          <w:tcPr>
            <w:tcW w:w="754" w:type="pct"/>
            <w:tcBorders>
              <w:top w:val="single" w:sz="4" w:space="0" w:color="auto"/>
              <w:bottom w:val="single" w:sz="4" w:space="0" w:color="auto"/>
            </w:tcBorders>
            <w:shd w:val="clear" w:color="auto" w:fill="auto"/>
            <w:noWrap/>
            <w:vAlign w:val="center"/>
            <w:hideMark/>
          </w:tcPr>
          <w:p w:rsidR="00A0211A" w:rsidRDefault="00A0211A">
            <w:pPr>
              <w:jc w:val="right"/>
              <w:rPr>
                <w:rFonts w:ascii="Arial Narrow" w:hAnsi="Arial Narrow"/>
                <w:color w:val="000000"/>
                <w:sz w:val="18"/>
                <w:szCs w:val="18"/>
              </w:rPr>
            </w:pPr>
            <w:r>
              <w:rPr>
                <w:rFonts w:ascii="Arial Narrow" w:hAnsi="Arial Narrow"/>
                <w:color w:val="000000"/>
                <w:sz w:val="18"/>
                <w:szCs w:val="18"/>
              </w:rPr>
              <w:t>-6,4</w:t>
            </w:r>
          </w:p>
        </w:tc>
      </w:tr>
      <w:tr w:rsidR="00A0211A" w:rsidTr="00F77FF1">
        <w:trPr>
          <w:trHeight w:val="255"/>
        </w:trPr>
        <w:tc>
          <w:tcPr>
            <w:tcW w:w="1209" w:type="pct"/>
            <w:tcBorders>
              <w:top w:val="single" w:sz="4" w:space="0" w:color="auto"/>
              <w:bottom w:val="single" w:sz="4" w:space="0" w:color="auto"/>
            </w:tcBorders>
            <w:shd w:val="clear" w:color="auto" w:fill="auto"/>
            <w:noWrap/>
            <w:vAlign w:val="center"/>
            <w:hideMark/>
          </w:tcPr>
          <w:p w:rsidR="00A0211A" w:rsidRDefault="00A0211A">
            <w:pPr>
              <w:ind w:firstLineChars="100" w:firstLine="180"/>
              <w:rPr>
                <w:rFonts w:ascii="Arial Narrow" w:hAnsi="Arial Narrow"/>
                <w:color w:val="000000"/>
                <w:sz w:val="18"/>
                <w:szCs w:val="18"/>
              </w:rPr>
            </w:pPr>
            <w:r>
              <w:rPr>
                <w:rFonts w:ascii="Arial Narrow" w:hAnsi="Arial Narrow"/>
                <w:color w:val="000000"/>
                <w:sz w:val="18"/>
                <w:szCs w:val="18"/>
              </w:rPr>
              <w:t>Ultraperiferico</w:t>
            </w:r>
          </w:p>
        </w:tc>
        <w:tc>
          <w:tcPr>
            <w:tcW w:w="468" w:type="pct"/>
            <w:tcBorders>
              <w:top w:val="single" w:sz="4" w:space="0" w:color="auto"/>
              <w:bottom w:val="single" w:sz="4" w:space="0" w:color="auto"/>
            </w:tcBorders>
            <w:shd w:val="clear" w:color="000000" w:fill="D9D9D9"/>
            <w:vAlign w:val="center"/>
            <w:hideMark/>
          </w:tcPr>
          <w:p w:rsidR="00A0211A" w:rsidRDefault="00A0211A">
            <w:pPr>
              <w:jc w:val="right"/>
              <w:rPr>
                <w:rFonts w:ascii="Arial Narrow" w:hAnsi="Arial Narrow"/>
                <w:color w:val="000000"/>
                <w:sz w:val="18"/>
                <w:szCs w:val="18"/>
              </w:rPr>
            </w:pPr>
            <w:r>
              <w:rPr>
                <w:rFonts w:ascii="Arial Narrow" w:hAnsi="Arial Narrow"/>
                <w:color w:val="000000"/>
                <w:sz w:val="18"/>
                <w:szCs w:val="18"/>
              </w:rPr>
              <w:t>51</w:t>
            </w:r>
          </w:p>
        </w:tc>
        <w:tc>
          <w:tcPr>
            <w:tcW w:w="635" w:type="pct"/>
            <w:tcBorders>
              <w:top w:val="single" w:sz="4" w:space="0" w:color="auto"/>
              <w:bottom w:val="single" w:sz="4" w:space="0" w:color="auto"/>
            </w:tcBorders>
            <w:shd w:val="clear" w:color="auto" w:fill="auto"/>
            <w:vAlign w:val="center"/>
            <w:hideMark/>
          </w:tcPr>
          <w:p w:rsidR="00A0211A" w:rsidRDefault="00A0211A">
            <w:pPr>
              <w:jc w:val="right"/>
              <w:rPr>
                <w:rFonts w:ascii="Arial Narrow" w:hAnsi="Arial Narrow"/>
                <w:color w:val="000000"/>
                <w:sz w:val="18"/>
                <w:szCs w:val="18"/>
              </w:rPr>
            </w:pPr>
            <w:r>
              <w:rPr>
                <w:rFonts w:ascii="Arial Narrow" w:hAnsi="Arial Narrow"/>
                <w:color w:val="000000"/>
                <w:sz w:val="18"/>
                <w:szCs w:val="18"/>
              </w:rPr>
              <w:t>99.352</w:t>
            </w:r>
          </w:p>
        </w:tc>
        <w:tc>
          <w:tcPr>
            <w:tcW w:w="629" w:type="pct"/>
            <w:tcBorders>
              <w:top w:val="single" w:sz="4" w:space="0" w:color="auto"/>
              <w:bottom w:val="single" w:sz="4" w:space="0" w:color="auto"/>
            </w:tcBorders>
            <w:shd w:val="clear" w:color="000000" w:fill="D9D9D9"/>
            <w:vAlign w:val="center"/>
            <w:hideMark/>
          </w:tcPr>
          <w:p w:rsidR="00A0211A" w:rsidRDefault="00A0211A">
            <w:pPr>
              <w:jc w:val="right"/>
              <w:rPr>
                <w:rFonts w:ascii="Arial Narrow" w:hAnsi="Arial Narrow"/>
                <w:color w:val="000000"/>
                <w:sz w:val="18"/>
                <w:szCs w:val="18"/>
              </w:rPr>
            </w:pPr>
            <w:r>
              <w:rPr>
                <w:rFonts w:ascii="Arial Narrow" w:hAnsi="Arial Narrow"/>
                <w:color w:val="000000"/>
                <w:sz w:val="18"/>
                <w:szCs w:val="18"/>
              </w:rPr>
              <w:t>100.792</w:t>
            </w:r>
          </w:p>
        </w:tc>
        <w:tc>
          <w:tcPr>
            <w:tcW w:w="629" w:type="pct"/>
            <w:tcBorders>
              <w:top w:val="single" w:sz="4" w:space="0" w:color="auto"/>
              <w:bottom w:val="single" w:sz="4" w:space="0" w:color="auto"/>
            </w:tcBorders>
            <w:shd w:val="clear" w:color="auto" w:fill="auto"/>
            <w:vAlign w:val="center"/>
            <w:hideMark/>
          </w:tcPr>
          <w:p w:rsidR="00A0211A" w:rsidRDefault="00A0211A">
            <w:pPr>
              <w:jc w:val="right"/>
              <w:rPr>
                <w:rFonts w:ascii="Arial Narrow" w:hAnsi="Arial Narrow"/>
                <w:color w:val="000000"/>
                <w:sz w:val="18"/>
                <w:szCs w:val="18"/>
              </w:rPr>
            </w:pPr>
            <w:r>
              <w:rPr>
                <w:rFonts w:ascii="Arial Narrow" w:hAnsi="Arial Narrow"/>
                <w:color w:val="000000"/>
                <w:sz w:val="18"/>
                <w:szCs w:val="18"/>
              </w:rPr>
              <w:t>108.166</w:t>
            </w:r>
          </w:p>
        </w:tc>
        <w:tc>
          <w:tcPr>
            <w:tcW w:w="675" w:type="pct"/>
            <w:tcBorders>
              <w:top w:val="single" w:sz="4" w:space="0" w:color="auto"/>
              <w:bottom w:val="single" w:sz="4" w:space="0" w:color="auto"/>
            </w:tcBorders>
            <w:shd w:val="clear" w:color="000000" w:fill="D9D9D9"/>
            <w:noWrap/>
            <w:vAlign w:val="center"/>
            <w:hideMark/>
          </w:tcPr>
          <w:p w:rsidR="00A0211A" w:rsidRDefault="00A0211A">
            <w:pPr>
              <w:jc w:val="right"/>
              <w:rPr>
                <w:rFonts w:ascii="Arial Narrow" w:hAnsi="Arial Narrow"/>
                <w:color w:val="000000"/>
                <w:sz w:val="18"/>
                <w:szCs w:val="18"/>
              </w:rPr>
            </w:pPr>
            <w:r>
              <w:rPr>
                <w:rFonts w:ascii="Arial Narrow" w:hAnsi="Arial Narrow"/>
                <w:color w:val="000000"/>
                <w:sz w:val="18"/>
                <w:szCs w:val="18"/>
              </w:rPr>
              <w:t>-14,3</w:t>
            </w:r>
          </w:p>
        </w:tc>
        <w:tc>
          <w:tcPr>
            <w:tcW w:w="754" w:type="pct"/>
            <w:tcBorders>
              <w:top w:val="single" w:sz="4" w:space="0" w:color="auto"/>
              <w:bottom w:val="single" w:sz="4" w:space="0" w:color="auto"/>
            </w:tcBorders>
            <w:shd w:val="clear" w:color="auto" w:fill="auto"/>
            <w:noWrap/>
            <w:vAlign w:val="center"/>
            <w:hideMark/>
          </w:tcPr>
          <w:p w:rsidR="00A0211A" w:rsidRDefault="00A0211A">
            <w:pPr>
              <w:jc w:val="right"/>
              <w:rPr>
                <w:rFonts w:ascii="Arial Narrow" w:hAnsi="Arial Narrow"/>
                <w:color w:val="000000"/>
                <w:sz w:val="18"/>
                <w:szCs w:val="18"/>
              </w:rPr>
            </w:pPr>
            <w:r>
              <w:rPr>
                <w:rFonts w:ascii="Arial Narrow" w:hAnsi="Arial Narrow"/>
                <w:color w:val="000000"/>
                <w:sz w:val="18"/>
                <w:szCs w:val="18"/>
              </w:rPr>
              <w:t>-10,6</w:t>
            </w:r>
          </w:p>
        </w:tc>
      </w:tr>
      <w:tr w:rsidR="00A0211A" w:rsidTr="00F77FF1">
        <w:trPr>
          <w:trHeight w:val="255"/>
        </w:trPr>
        <w:tc>
          <w:tcPr>
            <w:tcW w:w="1209" w:type="pct"/>
            <w:tcBorders>
              <w:top w:val="single" w:sz="4" w:space="0" w:color="auto"/>
              <w:bottom w:val="single" w:sz="4" w:space="0" w:color="auto"/>
            </w:tcBorders>
            <w:shd w:val="clear" w:color="000000" w:fill="C9321F"/>
            <w:noWrap/>
            <w:vAlign w:val="center"/>
            <w:hideMark/>
          </w:tcPr>
          <w:p w:rsidR="00A0211A" w:rsidRDefault="00A0211A">
            <w:pPr>
              <w:rPr>
                <w:rFonts w:ascii="Arial Narrow" w:hAnsi="Arial Narrow"/>
                <w:b/>
                <w:bCs/>
                <w:color w:val="FFFFFF"/>
                <w:sz w:val="18"/>
                <w:szCs w:val="18"/>
              </w:rPr>
            </w:pPr>
            <w:r>
              <w:rPr>
                <w:rFonts w:ascii="Arial Narrow" w:hAnsi="Arial Narrow"/>
                <w:b/>
                <w:bCs/>
                <w:color w:val="FFFFFF"/>
                <w:sz w:val="18"/>
                <w:szCs w:val="18"/>
              </w:rPr>
              <w:t>TOTALE</w:t>
            </w:r>
          </w:p>
        </w:tc>
        <w:tc>
          <w:tcPr>
            <w:tcW w:w="468" w:type="pct"/>
            <w:tcBorders>
              <w:top w:val="single" w:sz="4" w:space="0" w:color="auto"/>
              <w:bottom w:val="single" w:sz="4" w:space="0" w:color="auto"/>
            </w:tcBorders>
            <w:shd w:val="clear" w:color="000000" w:fill="C9321F"/>
            <w:noWrap/>
            <w:vAlign w:val="center"/>
            <w:hideMark/>
          </w:tcPr>
          <w:p w:rsidR="00A0211A" w:rsidRDefault="00A0211A">
            <w:pPr>
              <w:jc w:val="right"/>
              <w:rPr>
                <w:rFonts w:ascii="Arial Narrow" w:hAnsi="Arial Narrow"/>
                <w:b/>
                <w:bCs/>
                <w:color w:val="FFFFFF"/>
                <w:sz w:val="18"/>
                <w:szCs w:val="18"/>
              </w:rPr>
            </w:pPr>
            <w:r>
              <w:rPr>
                <w:rFonts w:ascii="Arial Narrow" w:hAnsi="Arial Narrow"/>
                <w:b/>
                <w:bCs/>
                <w:color w:val="FFFFFF"/>
                <w:sz w:val="18"/>
                <w:szCs w:val="18"/>
              </w:rPr>
              <w:t>131</w:t>
            </w:r>
          </w:p>
        </w:tc>
        <w:tc>
          <w:tcPr>
            <w:tcW w:w="635" w:type="pct"/>
            <w:tcBorders>
              <w:top w:val="single" w:sz="4" w:space="0" w:color="auto"/>
              <w:bottom w:val="single" w:sz="4" w:space="0" w:color="auto"/>
            </w:tcBorders>
            <w:shd w:val="clear" w:color="000000" w:fill="C9321F"/>
            <w:noWrap/>
            <w:vAlign w:val="center"/>
            <w:hideMark/>
          </w:tcPr>
          <w:p w:rsidR="00A0211A" w:rsidRDefault="00A0211A">
            <w:pPr>
              <w:jc w:val="right"/>
              <w:rPr>
                <w:rFonts w:ascii="Arial Narrow" w:hAnsi="Arial Narrow"/>
                <w:b/>
                <w:bCs/>
                <w:color w:val="FFFFFF"/>
                <w:sz w:val="18"/>
                <w:szCs w:val="18"/>
              </w:rPr>
            </w:pPr>
            <w:r>
              <w:rPr>
                <w:rFonts w:ascii="Arial Narrow" w:hAnsi="Arial Narrow"/>
                <w:b/>
                <w:bCs/>
                <w:color w:val="FFFFFF"/>
                <w:sz w:val="18"/>
                <w:szCs w:val="18"/>
              </w:rPr>
              <w:t>553.254</w:t>
            </w:r>
          </w:p>
        </w:tc>
        <w:tc>
          <w:tcPr>
            <w:tcW w:w="629" w:type="pct"/>
            <w:tcBorders>
              <w:top w:val="single" w:sz="4" w:space="0" w:color="auto"/>
              <w:bottom w:val="single" w:sz="4" w:space="0" w:color="auto"/>
            </w:tcBorders>
            <w:shd w:val="clear" w:color="000000" w:fill="C9321F"/>
            <w:noWrap/>
            <w:vAlign w:val="center"/>
            <w:hideMark/>
          </w:tcPr>
          <w:p w:rsidR="00A0211A" w:rsidRDefault="00A0211A">
            <w:pPr>
              <w:jc w:val="right"/>
              <w:rPr>
                <w:rFonts w:ascii="Arial Narrow" w:hAnsi="Arial Narrow"/>
                <w:b/>
                <w:bCs/>
                <w:color w:val="FFFFFF"/>
                <w:sz w:val="18"/>
                <w:szCs w:val="18"/>
              </w:rPr>
            </w:pPr>
            <w:r>
              <w:rPr>
                <w:rFonts w:ascii="Arial Narrow" w:hAnsi="Arial Narrow"/>
                <w:b/>
                <w:bCs/>
                <w:color w:val="FFFFFF"/>
                <w:sz w:val="18"/>
                <w:szCs w:val="18"/>
              </w:rPr>
              <w:t>558.587</w:t>
            </w:r>
          </w:p>
        </w:tc>
        <w:tc>
          <w:tcPr>
            <w:tcW w:w="629" w:type="pct"/>
            <w:tcBorders>
              <w:top w:val="single" w:sz="4" w:space="0" w:color="auto"/>
              <w:bottom w:val="single" w:sz="4" w:space="0" w:color="auto"/>
            </w:tcBorders>
            <w:shd w:val="clear" w:color="000000" w:fill="C9321F"/>
            <w:noWrap/>
            <w:vAlign w:val="center"/>
            <w:hideMark/>
          </w:tcPr>
          <w:p w:rsidR="00A0211A" w:rsidRDefault="00A0211A">
            <w:pPr>
              <w:jc w:val="right"/>
              <w:rPr>
                <w:rFonts w:ascii="Arial Narrow" w:hAnsi="Arial Narrow"/>
                <w:b/>
                <w:bCs/>
                <w:color w:val="FFFFFF"/>
                <w:sz w:val="18"/>
                <w:szCs w:val="18"/>
              </w:rPr>
            </w:pPr>
            <w:r>
              <w:rPr>
                <w:rFonts w:ascii="Arial Narrow" w:hAnsi="Arial Narrow"/>
                <w:b/>
                <w:bCs/>
                <w:color w:val="FFFFFF"/>
                <w:sz w:val="18"/>
                <w:szCs w:val="18"/>
              </w:rPr>
              <w:t>578.036</w:t>
            </w:r>
          </w:p>
        </w:tc>
        <w:tc>
          <w:tcPr>
            <w:tcW w:w="675" w:type="pct"/>
            <w:tcBorders>
              <w:top w:val="single" w:sz="4" w:space="0" w:color="auto"/>
              <w:bottom w:val="single" w:sz="4" w:space="0" w:color="auto"/>
            </w:tcBorders>
            <w:shd w:val="clear" w:color="000000" w:fill="C9321F"/>
            <w:noWrap/>
            <w:vAlign w:val="center"/>
            <w:hideMark/>
          </w:tcPr>
          <w:p w:rsidR="00A0211A" w:rsidRDefault="00A0211A">
            <w:pPr>
              <w:jc w:val="right"/>
              <w:rPr>
                <w:rFonts w:ascii="Arial Narrow" w:hAnsi="Arial Narrow"/>
                <w:b/>
                <w:bCs/>
                <w:color w:val="FFFFFF"/>
                <w:sz w:val="18"/>
                <w:szCs w:val="18"/>
              </w:rPr>
            </w:pPr>
            <w:r>
              <w:rPr>
                <w:rFonts w:ascii="Arial Narrow" w:hAnsi="Arial Narrow"/>
                <w:b/>
                <w:bCs/>
                <w:color w:val="FFFFFF"/>
                <w:sz w:val="18"/>
                <w:szCs w:val="18"/>
              </w:rPr>
              <w:t>-9,5</w:t>
            </w:r>
          </w:p>
        </w:tc>
        <w:tc>
          <w:tcPr>
            <w:tcW w:w="754" w:type="pct"/>
            <w:tcBorders>
              <w:top w:val="single" w:sz="4" w:space="0" w:color="auto"/>
              <w:bottom w:val="single" w:sz="4" w:space="0" w:color="auto"/>
            </w:tcBorders>
            <w:shd w:val="clear" w:color="000000" w:fill="C9321F"/>
            <w:noWrap/>
            <w:vAlign w:val="center"/>
            <w:hideMark/>
          </w:tcPr>
          <w:p w:rsidR="00A0211A" w:rsidRDefault="00A0211A">
            <w:pPr>
              <w:jc w:val="right"/>
              <w:rPr>
                <w:rFonts w:ascii="Arial Narrow" w:hAnsi="Arial Narrow"/>
                <w:b/>
                <w:bCs/>
                <w:color w:val="FFFFFF"/>
                <w:sz w:val="18"/>
                <w:szCs w:val="18"/>
              </w:rPr>
            </w:pPr>
            <w:r>
              <w:rPr>
                <w:rFonts w:ascii="Arial Narrow" w:hAnsi="Arial Narrow"/>
                <w:b/>
                <w:bCs/>
                <w:color w:val="FFFFFF"/>
                <w:sz w:val="18"/>
                <w:szCs w:val="18"/>
              </w:rPr>
              <w:t>-5,5</w:t>
            </w:r>
          </w:p>
        </w:tc>
      </w:tr>
      <w:tr w:rsidR="00A0211A" w:rsidTr="00F77FF1">
        <w:trPr>
          <w:trHeight w:val="255"/>
        </w:trPr>
        <w:tc>
          <w:tcPr>
            <w:tcW w:w="5000" w:type="pct"/>
            <w:gridSpan w:val="7"/>
            <w:tcBorders>
              <w:top w:val="nil"/>
              <w:left w:val="nil"/>
              <w:bottom w:val="nil"/>
              <w:right w:val="nil"/>
            </w:tcBorders>
            <w:shd w:val="clear" w:color="auto" w:fill="auto"/>
            <w:noWrap/>
            <w:vAlign w:val="center"/>
            <w:hideMark/>
          </w:tcPr>
          <w:p w:rsidR="00A0211A" w:rsidRDefault="00A0211A">
            <w:pPr>
              <w:rPr>
                <w:rFonts w:ascii="Arial Narrow" w:hAnsi="Arial Narrow"/>
                <w:color w:val="000000"/>
                <w:sz w:val="18"/>
                <w:szCs w:val="18"/>
              </w:rPr>
            </w:pPr>
            <w:r>
              <w:rPr>
                <w:rFonts w:ascii="Arial Narrow" w:hAnsi="Arial Narrow"/>
                <w:color w:val="000000"/>
                <w:sz w:val="18"/>
                <w:szCs w:val="18"/>
                <w:vertAlign w:val="superscript"/>
              </w:rPr>
              <w:t>(a)</w:t>
            </w:r>
            <w:r>
              <w:rPr>
                <w:color w:val="000000"/>
                <w:sz w:val="14"/>
                <w:szCs w:val="14"/>
                <w:vertAlign w:val="superscript"/>
              </w:rPr>
              <w:t xml:space="preserve">  </w:t>
            </w:r>
            <w:r>
              <w:rPr>
                <w:rFonts w:ascii="Arial Narrow" w:hAnsi="Arial Narrow"/>
                <w:color w:val="000000"/>
                <w:sz w:val="18"/>
                <w:szCs w:val="18"/>
              </w:rPr>
              <w:t>Variazione media annua geometrica (o composta)</w:t>
            </w:r>
          </w:p>
        </w:tc>
      </w:tr>
    </w:tbl>
    <w:p w:rsidR="00D531E0" w:rsidRPr="00582EED" w:rsidRDefault="00D531E0" w:rsidP="000A598D">
      <w:pPr>
        <w:spacing w:before="360" w:after="120"/>
        <w:jc w:val="both"/>
        <w:rPr>
          <w:rFonts w:ascii="Trebuchet MS" w:hAnsi="Trebuchet MS" w:cs="Arial"/>
          <w:color w:val="5F5F5F"/>
          <w:sz w:val="20"/>
          <w:szCs w:val="20"/>
        </w:rPr>
      </w:pPr>
      <w:r w:rsidRPr="00582EED">
        <w:rPr>
          <w:rFonts w:ascii="Trebuchet MS" w:hAnsi="Trebuchet MS" w:cs="Arial"/>
          <w:color w:val="5F5F5F"/>
          <w:sz w:val="20"/>
          <w:szCs w:val="20"/>
        </w:rPr>
        <w:lastRenderedPageBreak/>
        <w:t xml:space="preserve">Rispetto al 2011, il numero di stranieri residenti cresce in tutte le classi. L’intensità della variazione è però alquanto diversificata: si passa da un incremento medio annuo di </w:t>
      </w:r>
      <w:r w:rsidR="00582EED" w:rsidRPr="00582EED">
        <w:rPr>
          <w:rFonts w:ascii="Trebuchet MS" w:hAnsi="Trebuchet MS" w:cs="Arial"/>
          <w:color w:val="5F5F5F"/>
          <w:sz w:val="20"/>
          <w:szCs w:val="20"/>
        </w:rPr>
        <w:t>81</w:t>
      </w:r>
      <w:r w:rsidRPr="00582EED">
        <w:rPr>
          <w:rFonts w:ascii="Trebuchet MS" w:hAnsi="Trebuchet MS" w:cs="Arial"/>
          <w:color w:val="5F5F5F"/>
          <w:sz w:val="20"/>
          <w:szCs w:val="20"/>
        </w:rPr>
        <w:t xml:space="preserve"> unità ogni mille residenti dei comuni </w:t>
      </w:r>
      <w:r w:rsidR="00582EED" w:rsidRPr="00582EED">
        <w:rPr>
          <w:rFonts w:ascii="Trebuchet MS" w:hAnsi="Trebuchet MS" w:cs="Arial"/>
          <w:color w:val="5F5F5F"/>
          <w:sz w:val="20"/>
          <w:szCs w:val="20"/>
        </w:rPr>
        <w:t>P</w:t>
      </w:r>
      <w:r w:rsidRPr="00582EED">
        <w:rPr>
          <w:rFonts w:ascii="Trebuchet MS" w:hAnsi="Trebuchet MS" w:cs="Arial"/>
          <w:color w:val="5F5F5F"/>
          <w:sz w:val="20"/>
          <w:szCs w:val="20"/>
        </w:rPr>
        <w:t xml:space="preserve">olo ai </w:t>
      </w:r>
      <w:r w:rsidR="00582EED" w:rsidRPr="00582EED">
        <w:rPr>
          <w:rFonts w:ascii="Trebuchet MS" w:hAnsi="Trebuchet MS" w:cs="Arial"/>
          <w:color w:val="5F5F5F"/>
          <w:sz w:val="20"/>
          <w:szCs w:val="20"/>
        </w:rPr>
        <w:t>52</w:t>
      </w:r>
      <w:r w:rsidRPr="00582EED">
        <w:rPr>
          <w:rFonts w:ascii="Trebuchet MS" w:hAnsi="Trebuchet MS" w:cs="Arial"/>
          <w:color w:val="5F5F5F"/>
          <w:sz w:val="20"/>
          <w:szCs w:val="20"/>
        </w:rPr>
        <w:t xml:space="preserve"> dei comuni </w:t>
      </w:r>
      <w:r w:rsidR="00D5536E">
        <w:rPr>
          <w:rFonts w:ascii="Trebuchet MS" w:hAnsi="Trebuchet MS" w:cs="Arial"/>
          <w:color w:val="5F5F5F"/>
          <w:sz w:val="20"/>
          <w:szCs w:val="20"/>
        </w:rPr>
        <w:t>U</w:t>
      </w:r>
      <w:r w:rsidRPr="00582EED">
        <w:rPr>
          <w:rFonts w:ascii="Trebuchet MS" w:hAnsi="Trebuchet MS" w:cs="Arial"/>
          <w:color w:val="5F5F5F"/>
          <w:sz w:val="20"/>
          <w:szCs w:val="20"/>
        </w:rPr>
        <w:t xml:space="preserve">ltraperifici. Queste dinamiche hanno portato a un aumento dell’incidenza della popolazione straniera, </w:t>
      </w:r>
      <w:r w:rsidR="00D5536E" w:rsidRPr="00582EED">
        <w:rPr>
          <w:rFonts w:ascii="Trebuchet MS" w:hAnsi="Trebuchet MS" w:cs="Arial"/>
          <w:color w:val="5F5F5F"/>
          <w:sz w:val="20"/>
          <w:szCs w:val="20"/>
        </w:rPr>
        <w:t>soprattutto</w:t>
      </w:r>
      <w:r w:rsidRPr="00582EED">
        <w:rPr>
          <w:rFonts w:ascii="Trebuchet MS" w:hAnsi="Trebuchet MS" w:cs="Arial"/>
          <w:color w:val="5F5F5F"/>
          <w:sz w:val="20"/>
          <w:szCs w:val="20"/>
        </w:rPr>
        <w:t xml:space="preserve"> nei comuni Polo (dal </w:t>
      </w:r>
      <w:r w:rsidR="00582EED" w:rsidRPr="00582EED">
        <w:rPr>
          <w:rFonts w:ascii="Trebuchet MS" w:hAnsi="Trebuchet MS" w:cs="Arial"/>
          <w:color w:val="5F5F5F"/>
          <w:sz w:val="20"/>
          <w:szCs w:val="20"/>
        </w:rPr>
        <w:t>2,0</w:t>
      </w:r>
      <w:r w:rsidRPr="00582EED">
        <w:rPr>
          <w:rFonts w:ascii="Trebuchet MS" w:hAnsi="Trebuchet MS" w:cs="Arial"/>
          <w:color w:val="5F5F5F"/>
          <w:sz w:val="20"/>
          <w:szCs w:val="20"/>
        </w:rPr>
        <w:t>% del 2011 al 3</w:t>
      </w:r>
      <w:r w:rsidR="00582EED" w:rsidRPr="00582EED">
        <w:rPr>
          <w:rFonts w:ascii="Trebuchet MS" w:hAnsi="Trebuchet MS" w:cs="Arial"/>
          <w:color w:val="5F5F5F"/>
          <w:sz w:val="20"/>
          <w:szCs w:val="20"/>
        </w:rPr>
        <w:t>,7</w:t>
      </w:r>
      <w:r w:rsidRPr="00582EED">
        <w:rPr>
          <w:rFonts w:ascii="Trebuchet MS" w:hAnsi="Trebuchet MS" w:cs="Arial"/>
          <w:color w:val="5F5F5F"/>
          <w:sz w:val="20"/>
          <w:szCs w:val="20"/>
        </w:rPr>
        <w:t xml:space="preserve">% del 2019), </w:t>
      </w:r>
      <w:r w:rsidR="00582EED" w:rsidRPr="00582EED">
        <w:rPr>
          <w:rFonts w:ascii="Trebuchet MS" w:hAnsi="Trebuchet MS" w:cs="Arial"/>
          <w:color w:val="5F5F5F"/>
          <w:sz w:val="20"/>
          <w:szCs w:val="20"/>
        </w:rPr>
        <w:t>Periferici</w:t>
      </w:r>
      <w:r w:rsidRPr="00582EED">
        <w:rPr>
          <w:rFonts w:ascii="Trebuchet MS" w:hAnsi="Trebuchet MS" w:cs="Arial"/>
          <w:color w:val="5F5F5F"/>
          <w:sz w:val="20"/>
          <w:szCs w:val="20"/>
        </w:rPr>
        <w:t xml:space="preserve"> (dal </w:t>
      </w:r>
      <w:r w:rsidR="00582EED" w:rsidRPr="00582EED">
        <w:rPr>
          <w:rFonts w:ascii="Trebuchet MS" w:hAnsi="Trebuchet MS" w:cs="Arial"/>
          <w:color w:val="5F5F5F"/>
          <w:sz w:val="20"/>
          <w:szCs w:val="20"/>
        </w:rPr>
        <w:t>2,4</w:t>
      </w:r>
      <w:r w:rsidRPr="00582EED">
        <w:rPr>
          <w:rFonts w:ascii="Trebuchet MS" w:hAnsi="Trebuchet MS" w:cs="Arial"/>
          <w:color w:val="5F5F5F"/>
          <w:sz w:val="20"/>
          <w:szCs w:val="20"/>
        </w:rPr>
        <w:t xml:space="preserve">% al </w:t>
      </w:r>
      <w:r w:rsidR="00582EED" w:rsidRPr="00582EED">
        <w:rPr>
          <w:rFonts w:ascii="Trebuchet MS" w:hAnsi="Trebuchet MS" w:cs="Arial"/>
          <w:color w:val="5F5F5F"/>
          <w:sz w:val="20"/>
          <w:szCs w:val="20"/>
        </w:rPr>
        <w:t>4,6</w:t>
      </w:r>
      <w:r w:rsidRPr="00582EED">
        <w:rPr>
          <w:rFonts w:ascii="Trebuchet MS" w:hAnsi="Trebuchet MS" w:cs="Arial"/>
          <w:color w:val="5F5F5F"/>
          <w:sz w:val="20"/>
          <w:szCs w:val="20"/>
        </w:rPr>
        <w:t xml:space="preserve">%) e </w:t>
      </w:r>
      <w:r w:rsidR="00582EED" w:rsidRPr="00582EED">
        <w:rPr>
          <w:rFonts w:ascii="Trebuchet MS" w:hAnsi="Trebuchet MS" w:cs="Arial"/>
          <w:color w:val="5F5F5F"/>
          <w:sz w:val="20"/>
          <w:szCs w:val="20"/>
        </w:rPr>
        <w:t>Ultraperiferic</w:t>
      </w:r>
      <w:r w:rsidR="00D5536E">
        <w:rPr>
          <w:rFonts w:ascii="Trebuchet MS" w:hAnsi="Trebuchet MS" w:cs="Arial"/>
          <w:color w:val="5F5F5F"/>
          <w:sz w:val="20"/>
          <w:szCs w:val="20"/>
        </w:rPr>
        <w:t>i</w:t>
      </w:r>
      <w:r w:rsidRPr="00582EED">
        <w:rPr>
          <w:rFonts w:ascii="Trebuchet MS" w:hAnsi="Trebuchet MS" w:cs="Arial"/>
          <w:color w:val="5F5F5F"/>
          <w:sz w:val="20"/>
          <w:szCs w:val="20"/>
        </w:rPr>
        <w:t xml:space="preserve"> (2,</w:t>
      </w:r>
      <w:r w:rsidR="00582EED" w:rsidRPr="00582EED">
        <w:rPr>
          <w:rFonts w:ascii="Trebuchet MS" w:hAnsi="Trebuchet MS" w:cs="Arial"/>
          <w:color w:val="5F5F5F"/>
          <w:sz w:val="20"/>
          <w:szCs w:val="20"/>
        </w:rPr>
        <w:t>2</w:t>
      </w:r>
      <w:r w:rsidRPr="00582EED">
        <w:rPr>
          <w:rFonts w:ascii="Trebuchet MS" w:hAnsi="Trebuchet MS" w:cs="Arial"/>
          <w:color w:val="5F5F5F"/>
          <w:sz w:val="20"/>
          <w:szCs w:val="20"/>
        </w:rPr>
        <w:t>% nel 2011 e 4,</w:t>
      </w:r>
      <w:r w:rsidR="00582EED" w:rsidRPr="00582EED">
        <w:rPr>
          <w:rFonts w:ascii="Trebuchet MS" w:hAnsi="Trebuchet MS" w:cs="Arial"/>
          <w:color w:val="5F5F5F"/>
          <w:sz w:val="20"/>
          <w:szCs w:val="20"/>
        </w:rPr>
        <w:t>0</w:t>
      </w:r>
      <w:r w:rsidRPr="00582EED">
        <w:rPr>
          <w:rFonts w:ascii="Trebuchet MS" w:hAnsi="Trebuchet MS" w:cs="Arial"/>
          <w:color w:val="5F5F5F"/>
          <w:sz w:val="20"/>
          <w:szCs w:val="20"/>
        </w:rPr>
        <w:t>% nel 2019).</w:t>
      </w:r>
    </w:p>
    <w:p w:rsidR="00D531E0" w:rsidRPr="00582EED" w:rsidRDefault="00D531E0" w:rsidP="001B7135">
      <w:pPr>
        <w:spacing w:after="120"/>
        <w:jc w:val="both"/>
        <w:rPr>
          <w:rFonts w:ascii="Trebuchet MS" w:hAnsi="Trebuchet MS" w:cs="Arial"/>
          <w:color w:val="5F5F5F"/>
          <w:sz w:val="20"/>
          <w:szCs w:val="20"/>
        </w:rPr>
      </w:pPr>
      <w:r w:rsidRPr="00582EED">
        <w:rPr>
          <w:rFonts w:ascii="Trebuchet MS" w:hAnsi="Trebuchet MS" w:cs="Arial"/>
          <w:color w:val="5F5F5F"/>
          <w:sz w:val="20"/>
          <w:szCs w:val="20"/>
        </w:rPr>
        <w:t>Gli indicatori socio-demografici evidenziano significative differenze fra Centri e Aree interne:</w:t>
      </w:r>
    </w:p>
    <w:p w:rsidR="00D531E0" w:rsidRPr="001A2486" w:rsidRDefault="00D531E0" w:rsidP="001B7135">
      <w:pPr>
        <w:pStyle w:val="Paragrafoelenco"/>
        <w:numPr>
          <w:ilvl w:val="0"/>
          <w:numId w:val="31"/>
        </w:numPr>
        <w:spacing w:after="120" w:line="240" w:lineRule="auto"/>
        <w:ind w:left="426" w:hanging="284"/>
        <w:contextualSpacing w:val="0"/>
        <w:jc w:val="both"/>
        <w:rPr>
          <w:rFonts w:ascii="Trebuchet MS" w:hAnsi="Trebuchet MS" w:cs="Arial"/>
          <w:color w:val="5F5F5F"/>
          <w:sz w:val="20"/>
          <w:szCs w:val="20"/>
        </w:rPr>
      </w:pPr>
      <w:r w:rsidRPr="001A2486">
        <w:rPr>
          <w:rFonts w:ascii="Trebuchet MS" w:hAnsi="Trebuchet MS" w:cs="Arial"/>
          <w:color w:val="5F5F5F"/>
          <w:sz w:val="20"/>
          <w:szCs w:val="20"/>
        </w:rPr>
        <w:t xml:space="preserve">nei comuni delle </w:t>
      </w:r>
      <w:r w:rsidR="005A0A2E" w:rsidRPr="001A2486">
        <w:rPr>
          <w:rFonts w:ascii="Trebuchet MS" w:hAnsi="Trebuchet MS" w:cs="Arial"/>
          <w:color w:val="5F5F5F"/>
          <w:sz w:val="20"/>
          <w:szCs w:val="20"/>
        </w:rPr>
        <w:t>A</w:t>
      </w:r>
      <w:r w:rsidRPr="001A2486">
        <w:rPr>
          <w:rFonts w:ascii="Trebuchet MS" w:hAnsi="Trebuchet MS" w:cs="Arial"/>
          <w:color w:val="5F5F5F"/>
          <w:sz w:val="20"/>
          <w:szCs w:val="20"/>
        </w:rPr>
        <w:t>ree interne l’età media è pari a 45,</w:t>
      </w:r>
      <w:r w:rsidR="005A0A2E" w:rsidRPr="001A2486">
        <w:rPr>
          <w:rFonts w:ascii="Trebuchet MS" w:hAnsi="Trebuchet MS" w:cs="Arial"/>
          <w:color w:val="5F5F5F"/>
          <w:sz w:val="20"/>
          <w:szCs w:val="20"/>
        </w:rPr>
        <w:t>9</w:t>
      </w:r>
      <w:r w:rsidRPr="001A2486">
        <w:rPr>
          <w:rFonts w:ascii="Trebuchet MS" w:hAnsi="Trebuchet MS" w:cs="Arial"/>
          <w:color w:val="5F5F5F"/>
          <w:sz w:val="20"/>
          <w:szCs w:val="20"/>
        </w:rPr>
        <w:t xml:space="preserve"> anni </w:t>
      </w:r>
      <w:r w:rsidR="003B7ED5" w:rsidRPr="001A2486">
        <w:rPr>
          <w:rFonts w:ascii="Trebuchet MS" w:hAnsi="Trebuchet MS" w:cs="Arial"/>
          <w:color w:val="5F5F5F"/>
          <w:sz w:val="20"/>
          <w:szCs w:val="20"/>
        </w:rPr>
        <w:t xml:space="preserve">ma </w:t>
      </w:r>
      <w:r w:rsidRPr="001A2486">
        <w:rPr>
          <w:rFonts w:ascii="Trebuchet MS" w:hAnsi="Trebuchet MS" w:cs="Arial"/>
          <w:color w:val="5F5F5F"/>
          <w:sz w:val="20"/>
          <w:szCs w:val="20"/>
        </w:rPr>
        <w:t>sale a 4</w:t>
      </w:r>
      <w:r w:rsidR="005A0A2E" w:rsidRPr="001A2486">
        <w:rPr>
          <w:rFonts w:ascii="Trebuchet MS" w:hAnsi="Trebuchet MS" w:cs="Arial"/>
          <w:color w:val="5F5F5F"/>
          <w:sz w:val="20"/>
          <w:szCs w:val="20"/>
        </w:rPr>
        <w:t>7</w:t>
      </w:r>
      <w:r w:rsidRPr="001A2486">
        <w:rPr>
          <w:rFonts w:ascii="Trebuchet MS" w:hAnsi="Trebuchet MS" w:cs="Arial"/>
          <w:color w:val="5F5F5F"/>
          <w:sz w:val="20"/>
          <w:szCs w:val="20"/>
        </w:rPr>
        <w:t>,</w:t>
      </w:r>
      <w:r w:rsidR="005A0A2E" w:rsidRPr="001A2486">
        <w:rPr>
          <w:rFonts w:ascii="Trebuchet MS" w:hAnsi="Trebuchet MS" w:cs="Arial"/>
          <w:color w:val="5F5F5F"/>
          <w:sz w:val="20"/>
          <w:szCs w:val="20"/>
        </w:rPr>
        <w:t>1</w:t>
      </w:r>
      <w:r w:rsidRPr="001A2486">
        <w:rPr>
          <w:rFonts w:ascii="Trebuchet MS" w:hAnsi="Trebuchet MS" w:cs="Arial"/>
          <w:color w:val="5F5F5F"/>
          <w:sz w:val="20"/>
          <w:szCs w:val="20"/>
        </w:rPr>
        <w:t xml:space="preserve"> in quelli </w:t>
      </w:r>
      <w:r w:rsidR="00D5536E">
        <w:rPr>
          <w:rFonts w:ascii="Trebuchet MS" w:hAnsi="Trebuchet MS" w:cs="Arial"/>
          <w:color w:val="5F5F5F"/>
          <w:sz w:val="20"/>
          <w:szCs w:val="20"/>
        </w:rPr>
        <w:t>U</w:t>
      </w:r>
      <w:r w:rsidRPr="001A2486">
        <w:rPr>
          <w:rFonts w:ascii="Trebuchet MS" w:hAnsi="Trebuchet MS" w:cs="Arial"/>
          <w:color w:val="5F5F5F"/>
          <w:sz w:val="20"/>
          <w:szCs w:val="20"/>
        </w:rPr>
        <w:t>ltraperiferici; rispetto a chi vive nelle Aree interne, i residenti nei centri hanno</w:t>
      </w:r>
      <w:r w:rsidR="005A0A2E" w:rsidRPr="001A2486">
        <w:rPr>
          <w:rFonts w:ascii="Trebuchet MS" w:hAnsi="Trebuchet MS" w:cs="Arial"/>
          <w:color w:val="5F5F5F"/>
          <w:sz w:val="20"/>
          <w:szCs w:val="20"/>
        </w:rPr>
        <w:t xml:space="preserve"> circa un</w:t>
      </w:r>
      <w:r w:rsidRPr="001A2486">
        <w:rPr>
          <w:rFonts w:ascii="Trebuchet MS" w:hAnsi="Trebuchet MS" w:cs="Arial"/>
          <w:color w:val="5F5F5F"/>
          <w:sz w:val="20"/>
          <w:szCs w:val="20"/>
        </w:rPr>
        <w:t xml:space="preserve"> ann</w:t>
      </w:r>
      <w:r w:rsidR="005A0A2E" w:rsidRPr="001A2486">
        <w:rPr>
          <w:rFonts w:ascii="Trebuchet MS" w:hAnsi="Trebuchet MS" w:cs="Arial"/>
          <w:color w:val="5F5F5F"/>
          <w:sz w:val="20"/>
          <w:szCs w:val="20"/>
        </w:rPr>
        <w:t>o</w:t>
      </w:r>
      <w:r w:rsidRPr="001A2486">
        <w:rPr>
          <w:rFonts w:ascii="Trebuchet MS" w:hAnsi="Trebuchet MS" w:cs="Arial"/>
          <w:color w:val="5F5F5F"/>
          <w:sz w:val="20"/>
          <w:szCs w:val="20"/>
        </w:rPr>
        <w:t xml:space="preserve"> in meno; l’indice di vecchiaia è pari a </w:t>
      </w:r>
      <w:r w:rsidR="005A0A2E" w:rsidRPr="001A2486">
        <w:rPr>
          <w:rFonts w:ascii="Trebuchet MS" w:hAnsi="Trebuchet MS" w:cs="Arial"/>
          <w:color w:val="5F5F5F"/>
          <w:sz w:val="20"/>
          <w:szCs w:val="20"/>
        </w:rPr>
        <w:t>180,1</w:t>
      </w:r>
      <w:r w:rsidRPr="001A2486">
        <w:rPr>
          <w:rFonts w:ascii="Trebuchet MS" w:hAnsi="Trebuchet MS" w:cs="Arial"/>
          <w:color w:val="5F5F5F"/>
          <w:sz w:val="20"/>
          <w:szCs w:val="20"/>
        </w:rPr>
        <w:t xml:space="preserve"> nei </w:t>
      </w:r>
      <w:r w:rsidR="00623229">
        <w:rPr>
          <w:rFonts w:ascii="Trebuchet MS" w:hAnsi="Trebuchet MS" w:cs="Arial"/>
          <w:color w:val="5F5F5F"/>
          <w:sz w:val="20"/>
          <w:szCs w:val="20"/>
        </w:rPr>
        <w:t>C</w:t>
      </w:r>
      <w:r w:rsidRPr="001A2486">
        <w:rPr>
          <w:rFonts w:ascii="Trebuchet MS" w:hAnsi="Trebuchet MS" w:cs="Arial"/>
          <w:color w:val="5F5F5F"/>
          <w:sz w:val="20"/>
          <w:szCs w:val="20"/>
        </w:rPr>
        <w:t xml:space="preserve">entri e a </w:t>
      </w:r>
      <w:r w:rsidR="005A0A2E" w:rsidRPr="001A2486">
        <w:rPr>
          <w:rFonts w:ascii="Trebuchet MS" w:hAnsi="Trebuchet MS" w:cs="Arial"/>
          <w:color w:val="5F5F5F"/>
          <w:sz w:val="20"/>
          <w:szCs w:val="20"/>
        </w:rPr>
        <w:t>208,9</w:t>
      </w:r>
      <w:r w:rsidRPr="001A2486">
        <w:rPr>
          <w:rFonts w:ascii="Trebuchet MS" w:hAnsi="Trebuchet MS" w:cs="Arial"/>
          <w:color w:val="5F5F5F"/>
          <w:sz w:val="20"/>
          <w:szCs w:val="20"/>
        </w:rPr>
        <w:t xml:space="preserve"> nelle </w:t>
      </w:r>
      <w:r w:rsidR="00623229">
        <w:rPr>
          <w:rFonts w:ascii="Trebuchet MS" w:hAnsi="Trebuchet MS" w:cs="Arial"/>
          <w:color w:val="5F5F5F"/>
          <w:sz w:val="20"/>
          <w:szCs w:val="20"/>
        </w:rPr>
        <w:t>A</w:t>
      </w:r>
      <w:r w:rsidRPr="001A2486">
        <w:rPr>
          <w:rFonts w:ascii="Trebuchet MS" w:hAnsi="Trebuchet MS" w:cs="Arial"/>
          <w:color w:val="5F5F5F"/>
          <w:sz w:val="20"/>
          <w:szCs w:val="20"/>
        </w:rPr>
        <w:t xml:space="preserve">ree interne; l’indice di struttura della popolazione attiva dei comuni delle </w:t>
      </w:r>
      <w:r w:rsidR="00623229">
        <w:rPr>
          <w:rFonts w:ascii="Trebuchet MS" w:hAnsi="Trebuchet MS" w:cs="Arial"/>
          <w:color w:val="5F5F5F"/>
          <w:sz w:val="20"/>
          <w:szCs w:val="20"/>
        </w:rPr>
        <w:t>A</w:t>
      </w:r>
      <w:r w:rsidRPr="001A2486">
        <w:rPr>
          <w:rFonts w:ascii="Trebuchet MS" w:hAnsi="Trebuchet MS" w:cs="Arial"/>
          <w:color w:val="5F5F5F"/>
          <w:sz w:val="20"/>
          <w:szCs w:val="20"/>
        </w:rPr>
        <w:t>ree interne (</w:t>
      </w:r>
      <w:r w:rsidR="005A0A2E" w:rsidRPr="001A2486">
        <w:rPr>
          <w:rFonts w:ascii="Trebuchet MS" w:hAnsi="Trebuchet MS" w:cs="Arial"/>
          <w:color w:val="5F5F5F"/>
          <w:sz w:val="20"/>
          <w:szCs w:val="20"/>
        </w:rPr>
        <w:t>131,5</w:t>
      </w:r>
      <w:r w:rsidRPr="001A2486">
        <w:rPr>
          <w:rFonts w:ascii="Trebuchet MS" w:hAnsi="Trebuchet MS" w:cs="Arial"/>
          <w:color w:val="5F5F5F"/>
          <w:sz w:val="20"/>
          <w:szCs w:val="20"/>
        </w:rPr>
        <w:t xml:space="preserve">) </w:t>
      </w:r>
      <w:r w:rsidR="005A0A2E" w:rsidRPr="001A2486">
        <w:rPr>
          <w:rFonts w:ascii="Trebuchet MS" w:hAnsi="Trebuchet MS" w:cs="Arial"/>
          <w:color w:val="5F5F5F"/>
          <w:sz w:val="20"/>
          <w:szCs w:val="20"/>
        </w:rPr>
        <w:t>è di 7 punti più basso di quello dei Centri</w:t>
      </w:r>
      <w:r w:rsidRPr="001A2486">
        <w:rPr>
          <w:rFonts w:ascii="Trebuchet MS" w:hAnsi="Trebuchet MS" w:cs="Arial"/>
          <w:color w:val="5F5F5F"/>
          <w:sz w:val="20"/>
          <w:szCs w:val="20"/>
        </w:rPr>
        <w:t xml:space="preserve"> (</w:t>
      </w:r>
      <w:r w:rsidR="005A0A2E" w:rsidRPr="001A2486">
        <w:rPr>
          <w:rFonts w:ascii="Trebuchet MS" w:hAnsi="Trebuchet MS" w:cs="Arial"/>
          <w:color w:val="5F5F5F"/>
          <w:sz w:val="20"/>
          <w:szCs w:val="20"/>
        </w:rPr>
        <w:t>138,3</w:t>
      </w:r>
      <w:r w:rsidRPr="001A2486">
        <w:rPr>
          <w:rFonts w:ascii="Trebuchet MS" w:hAnsi="Trebuchet MS" w:cs="Arial"/>
          <w:color w:val="5F5F5F"/>
          <w:sz w:val="20"/>
          <w:szCs w:val="20"/>
        </w:rPr>
        <w:t>);</w:t>
      </w:r>
    </w:p>
    <w:p w:rsidR="00D531E0" w:rsidRPr="001A2486" w:rsidRDefault="00D531E0" w:rsidP="001B7135">
      <w:pPr>
        <w:pStyle w:val="Paragrafoelenco"/>
        <w:numPr>
          <w:ilvl w:val="0"/>
          <w:numId w:val="31"/>
        </w:numPr>
        <w:spacing w:after="120" w:line="240" w:lineRule="auto"/>
        <w:ind w:left="426" w:hanging="284"/>
        <w:contextualSpacing w:val="0"/>
        <w:jc w:val="both"/>
        <w:rPr>
          <w:rFonts w:ascii="Trebuchet MS" w:hAnsi="Trebuchet MS" w:cs="Arial"/>
          <w:color w:val="5F5F5F"/>
          <w:sz w:val="20"/>
          <w:szCs w:val="20"/>
        </w:rPr>
      </w:pPr>
      <w:r w:rsidRPr="001A2486">
        <w:rPr>
          <w:rFonts w:ascii="Trebuchet MS" w:hAnsi="Trebuchet MS" w:cs="Arial"/>
          <w:color w:val="5F5F5F"/>
          <w:sz w:val="20"/>
          <w:szCs w:val="20"/>
        </w:rPr>
        <w:t xml:space="preserve">nelle Aree interne, </w:t>
      </w:r>
      <w:r w:rsidR="003702E2" w:rsidRPr="001A2486">
        <w:rPr>
          <w:rFonts w:ascii="Trebuchet MS" w:hAnsi="Trebuchet MS" w:cs="Arial"/>
          <w:color w:val="5F5F5F"/>
          <w:sz w:val="20"/>
          <w:szCs w:val="20"/>
        </w:rPr>
        <w:t>le quote di</w:t>
      </w:r>
      <w:r w:rsidRPr="001A2486">
        <w:rPr>
          <w:rFonts w:ascii="Trebuchet MS" w:hAnsi="Trebuchet MS" w:cs="Arial"/>
          <w:color w:val="5F5F5F"/>
          <w:sz w:val="20"/>
          <w:szCs w:val="20"/>
        </w:rPr>
        <w:t xml:space="preserve"> residenti di 9 anni e più che hanno conseguito</w:t>
      </w:r>
      <w:r w:rsidR="003702E2" w:rsidRPr="001A2486">
        <w:rPr>
          <w:rFonts w:ascii="Trebuchet MS" w:hAnsi="Trebuchet MS" w:cs="Arial"/>
          <w:color w:val="5F5F5F"/>
          <w:sz w:val="20"/>
          <w:szCs w:val="20"/>
        </w:rPr>
        <w:t xml:space="preserve"> un titolo di studio </w:t>
      </w:r>
      <w:r w:rsidR="00D5536E" w:rsidRPr="001A2486">
        <w:rPr>
          <w:rFonts w:ascii="Trebuchet MS" w:hAnsi="Trebuchet MS" w:cs="Arial"/>
          <w:color w:val="5F5F5F"/>
          <w:sz w:val="20"/>
          <w:szCs w:val="20"/>
        </w:rPr>
        <w:t>terziario</w:t>
      </w:r>
      <w:r w:rsidR="003702E2" w:rsidRPr="001A2486">
        <w:rPr>
          <w:rFonts w:ascii="Trebuchet MS" w:hAnsi="Trebuchet MS" w:cs="Arial"/>
          <w:color w:val="5F5F5F"/>
          <w:sz w:val="20"/>
          <w:szCs w:val="20"/>
        </w:rPr>
        <w:t xml:space="preserve"> (11,5%) o</w:t>
      </w:r>
      <w:r w:rsidRPr="001A2486">
        <w:rPr>
          <w:rFonts w:ascii="Trebuchet MS" w:hAnsi="Trebuchet MS" w:cs="Arial"/>
          <w:color w:val="5F5F5F"/>
          <w:sz w:val="20"/>
          <w:szCs w:val="20"/>
        </w:rPr>
        <w:t xml:space="preserve"> almeno il diploma di scuola secondaria di </w:t>
      </w:r>
      <w:r w:rsidR="003702E2" w:rsidRPr="001A2486">
        <w:rPr>
          <w:rFonts w:ascii="Trebuchet MS" w:hAnsi="Trebuchet MS" w:cs="Arial"/>
          <w:color w:val="5F5F5F"/>
          <w:sz w:val="20"/>
          <w:szCs w:val="20"/>
        </w:rPr>
        <w:t>secondo</w:t>
      </w:r>
      <w:r w:rsidRPr="001A2486">
        <w:rPr>
          <w:rFonts w:ascii="Trebuchet MS" w:hAnsi="Trebuchet MS" w:cs="Arial"/>
          <w:color w:val="5F5F5F"/>
          <w:sz w:val="20"/>
          <w:szCs w:val="20"/>
        </w:rPr>
        <w:t xml:space="preserve"> grado </w:t>
      </w:r>
      <w:r w:rsidR="003702E2" w:rsidRPr="001A2486">
        <w:rPr>
          <w:rFonts w:ascii="Trebuchet MS" w:hAnsi="Trebuchet MS" w:cs="Arial"/>
          <w:color w:val="5F5F5F"/>
          <w:sz w:val="20"/>
          <w:szCs w:val="20"/>
        </w:rPr>
        <w:t xml:space="preserve">(34,3%) sono inferiori alla media regionale; nei Centri, invece, la percentuale di persone con un titolo di studio terziario e superiore (18,9%) supera di oltre cinque punti la media regionale, </w:t>
      </w:r>
      <w:r w:rsidR="001A2486" w:rsidRPr="001A2486">
        <w:rPr>
          <w:rFonts w:ascii="Trebuchet MS" w:hAnsi="Trebuchet MS" w:cs="Arial"/>
          <w:color w:val="5F5F5F"/>
          <w:sz w:val="20"/>
          <w:szCs w:val="20"/>
        </w:rPr>
        <w:t>quella de</w:t>
      </w:r>
      <w:r w:rsidR="003702E2" w:rsidRPr="001A2486">
        <w:rPr>
          <w:rFonts w:ascii="Trebuchet MS" w:hAnsi="Trebuchet MS" w:cs="Arial"/>
          <w:color w:val="5F5F5F"/>
          <w:sz w:val="20"/>
          <w:szCs w:val="20"/>
        </w:rPr>
        <w:t>i diplomati (38,2%) di tre</w:t>
      </w:r>
      <w:r w:rsidR="001A2486" w:rsidRPr="001A2486">
        <w:rPr>
          <w:rFonts w:ascii="Trebuchet MS" w:hAnsi="Trebuchet MS" w:cs="Arial"/>
          <w:color w:val="5F5F5F"/>
          <w:sz w:val="20"/>
          <w:szCs w:val="20"/>
        </w:rPr>
        <w:t>;</w:t>
      </w:r>
    </w:p>
    <w:p w:rsidR="00A445FC" w:rsidRDefault="00D531E0" w:rsidP="00F13491">
      <w:pPr>
        <w:pStyle w:val="Paragrafoelenco"/>
        <w:numPr>
          <w:ilvl w:val="0"/>
          <w:numId w:val="31"/>
        </w:numPr>
        <w:spacing w:before="120" w:after="240" w:line="240" w:lineRule="auto"/>
        <w:ind w:left="426" w:hanging="284"/>
        <w:contextualSpacing w:val="0"/>
        <w:jc w:val="both"/>
        <w:rPr>
          <w:rFonts w:ascii="Trebuchet MS" w:hAnsi="Trebuchet MS" w:cs="Arial"/>
          <w:color w:val="5F5F5F"/>
          <w:sz w:val="20"/>
          <w:szCs w:val="20"/>
        </w:rPr>
      </w:pPr>
      <w:r w:rsidRPr="001A2486">
        <w:rPr>
          <w:rFonts w:ascii="Trebuchet MS" w:hAnsi="Trebuchet MS" w:cs="Arial"/>
          <w:color w:val="5F5F5F"/>
          <w:sz w:val="20"/>
          <w:szCs w:val="20"/>
        </w:rPr>
        <w:t>le Aree interne presentano un tasso di occupazione (</w:t>
      </w:r>
      <w:r w:rsidR="001A2486" w:rsidRPr="001A2486">
        <w:rPr>
          <w:rFonts w:ascii="Trebuchet MS" w:hAnsi="Trebuchet MS" w:cs="Arial"/>
          <w:color w:val="5F5F5F"/>
          <w:sz w:val="20"/>
          <w:szCs w:val="20"/>
        </w:rPr>
        <w:t>40,1</w:t>
      </w:r>
      <w:r w:rsidRPr="001A2486">
        <w:rPr>
          <w:rFonts w:ascii="Trebuchet MS" w:hAnsi="Trebuchet MS" w:cs="Arial"/>
          <w:color w:val="5F5F5F"/>
          <w:sz w:val="20"/>
          <w:szCs w:val="20"/>
        </w:rPr>
        <w:t xml:space="preserve">%) </w:t>
      </w:r>
      <w:r w:rsidR="001A2486" w:rsidRPr="001A2486">
        <w:rPr>
          <w:rFonts w:ascii="Trebuchet MS" w:hAnsi="Trebuchet MS" w:cs="Arial"/>
          <w:color w:val="5F5F5F"/>
          <w:sz w:val="20"/>
          <w:szCs w:val="20"/>
        </w:rPr>
        <w:t>inf</w:t>
      </w:r>
      <w:r w:rsidRPr="001A2486">
        <w:rPr>
          <w:rFonts w:ascii="Trebuchet MS" w:hAnsi="Trebuchet MS" w:cs="Arial"/>
          <w:color w:val="5F5F5F"/>
          <w:sz w:val="20"/>
          <w:szCs w:val="20"/>
        </w:rPr>
        <w:t>eriore alla media regionale (</w:t>
      </w:r>
      <w:r w:rsidR="001A2486" w:rsidRPr="001A2486">
        <w:rPr>
          <w:rFonts w:ascii="Trebuchet MS" w:hAnsi="Trebuchet MS" w:cs="Arial"/>
          <w:color w:val="5F5F5F"/>
          <w:sz w:val="20"/>
          <w:szCs w:val="20"/>
        </w:rPr>
        <w:t>41,4</w:t>
      </w:r>
      <w:r w:rsidRPr="001A2486">
        <w:rPr>
          <w:rFonts w:ascii="Trebuchet MS" w:hAnsi="Trebuchet MS" w:cs="Arial"/>
          <w:color w:val="5F5F5F"/>
          <w:sz w:val="20"/>
          <w:szCs w:val="20"/>
        </w:rPr>
        <w:t>%)</w:t>
      </w:r>
      <w:r w:rsidR="001A2486" w:rsidRPr="001A2486">
        <w:rPr>
          <w:rFonts w:ascii="Trebuchet MS" w:hAnsi="Trebuchet MS" w:cs="Arial"/>
          <w:color w:val="5F5F5F"/>
          <w:sz w:val="20"/>
          <w:szCs w:val="20"/>
        </w:rPr>
        <w:t xml:space="preserve">; il tasso di occupazione dei Centri (45,2%) supera di 3,7 punti la media regionale, quello di disoccupazione (16,2%) è </w:t>
      </w:r>
      <w:r w:rsidR="00D5536E" w:rsidRPr="001A2486">
        <w:rPr>
          <w:rFonts w:ascii="Trebuchet MS" w:hAnsi="Trebuchet MS" w:cs="Arial"/>
          <w:color w:val="5F5F5F"/>
          <w:sz w:val="20"/>
          <w:szCs w:val="20"/>
        </w:rPr>
        <w:t>più</w:t>
      </w:r>
      <w:r w:rsidR="001A2486" w:rsidRPr="001A2486">
        <w:rPr>
          <w:rFonts w:ascii="Trebuchet MS" w:hAnsi="Trebuchet MS" w:cs="Arial"/>
          <w:color w:val="5F5F5F"/>
          <w:sz w:val="20"/>
          <w:szCs w:val="20"/>
        </w:rPr>
        <w:t xml:space="preserve"> basso di circa mezzo punto</w:t>
      </w:r>
      <w:r w:rsidRPr="001A2486">
        <w:rPr>
          <w:rFonts w:ascii="Trebuchet MS" w:hAnsi="Trebuchet MS" w:cs="Arial"/>
          <w:color w:val="5F5F5F"/>
          <w:sz w:val="20"/>
          <w:szCs w:val="20"/>
        </w:rPr>
        <w:t>.</w:t>
      </w:r>
    </w:p>
    <w:p w:rsidR="0000403D" w:rsidRPr="001A2486" w:rsidRDefault="0000403D" w:rsidP="0000403D">
      <w:pPr>
        <w:pStyle w:val="Paragrafoelenco"/>
        <w:spacing w:before="120" w:after="240" w:line="240" w:lineRule="auto"/>
        <w:ind w:left="426"/>
        <w:contextualSpacing w:val="0"/>
        <w:jc w:val="both"/>
        <w:rPr>
          <w:rFonts w:ascii="Trebuchet MS" w:hAnsi="Trebuchet MS" w:cs="Arial"/>
          <w:color w:val="5F5F5F"/>
          <w:sz w:val="20"/>
          <w:szCs w:val="20"/>
        </w:rPr>
      </w:pPr>
    </w:p>
    <w:p w:rsidR="00D531E0" w:rsidRDefault="00D531E0" w:rsidP="00A445FC">
      <w:pPr>
        <w:keepNext/>
        <w:keepLines/>
        <w:spacing w:after="120"/>
        <w:jc w:val="both"/>
        <w:rPr>
          <w:rFonts w:ascii="Arial Narrow" w:hAnsi="Arial Narrow"/>
          <w:color w:val="595959" w:themeColor="text1" w:themeTint="A6"/>
          <w:sz w:val="20"/>
          <w:szCs w:val="20"/>
        </w:rPr>
      </w:pPr>
      <w:r w:rsidRPr="008340B2">
        <w:rPr>
          <w:rFonts w:ascii="Arial Narrow" w:hAnsi="Arial Narrow"/>
          <w:b/>
          <w:bCs/>
          <w:color w:val="595959" w:themeColor="text1" w:themeTint="A6"/>
          <w:sz w:val="22"/>
          <w:szCs w:val="22"/>
        </w:rPr>
        <w:t>PROSPETTO 14.</w:t>
      </w:r>
      <w:r w:rsidRPr="008340B2">
        <w:rPr>
          <w:rFonts w:ascii="Arial Narrow" w:hAnsi="Arial Narrow"/>
          <w:color w:val="595959" w:themeColor="text1" w:themeTint="A6"/>
          <w:sz w:val="22"/>
          <w:szCs w:val="22"/>
        </w:rPr>
        <w:t>INDICATORI SOCIO-DEMOGRAFICI PER CLASSIFICAZIONE DEI COMUNI SECONDO LA STRATEGIA NAZIONALE DELLE AREE INTERNE</w:t>
      </w:r>
      <w:r w:rsidRPr="008340B2">
        <w:rPr>
          <w:rFonts w:ascii="Arial Narrow" w:hAnsi="Arial Narrow"/>
          <w:color w:val="595959" w:themeColor="text1" w:themeTint="A6"/>
          <w:sz w:val="20"/>
          <w:szCs w:val="20"/>
        </w:rPr>
        <w:t>. Censimento 2019</w:t>
      </w:r>
    </w:p>
    <w:tbl>
      <w:tblPr>
        <w:tblW w:w="5000" w:type="pct"/>
        <w:tblBorders>
          <w:top w:val="single" w:sz="4" w:space="0" w:color="auto"/>
          <w:bottom w:val="single" w:sz="4" w:space="0" w:color="auto"/>
          <w:insideH w:val="single" w:sz="4" w:space="0" w:color="auto"/>
        </w:tblBorders>
        <w:tblCellMar>
          <w:left w:w="70" w:type="dxa"/>
          <w:right w:w="70" w:type="dxa"/>
        </w:tblCellMar>
        <w:tblLook w:val="04A0"/>
      </w:tblPr>
      <w:tblGrid>
        <w:gridCol w:w="2414"/>
        <w:gridCol w:w="896"/>
        <w:gridCol w:w="896"/>
        <w:gridCol w:w="827"/>
        <w:gridCol w:w="70"/>
        <w:gridCol w:w="896"/>
        <w:gridCol w:w="898"/>
        <w:gridCol w:w="933"/>
        <w:gridCol w:w="900"/>
        <w:gridCol w:w="1048"/>
      </w:tblGrid>
      <w:tr w:rsidR="00261A91" w:rsidTr="00F77FF1">
        <w:trPr>
          <w:trHeight w:val="255"/>
        </w:trPr>
        <w:tc>
          <w:tcPr>
            <w:tcW w:w="1235" w:type="pct"/>
            <w:vMerge w:val="restart"/>
            <w:shd w:val="clear" w:color="auto" w:fill="auto"/>
            <w:vAlign w:val="center"/>
            <w:hideMark/>
          </w:tcPr>
          <w:p w:rsidR="00261A91" w:rsidRDefault="00261A91" w:rsidP="0000403D">
            <w:pPr>
              <w:spacing w:before="40" w:after="20"/>
              <w:rPr>
                <w:rFonts w:ascii="Arial Narrow" w:hAnsi="Arial Narrow" w:cs="Calibri"/>
                <w:b/>
                <w:bCs/>
                <w:color w:val="000000"/>
                <w:sz w:val="18"/>
                <w:szCs w:val="18"/>
              </w:rPr>
            </w:pPr>
            <w:r>
              <w:rPr>
                <w:rFonts w:ascii="Arial Narrow" w:hAnsi="Arial Narrow" w:cs="Calibri"/>
                <w:b/>
                <w:bCs/>
                <w:color w:val="000000"/>
                <w:sz w:val="18"/>
                <w:szCs w:val="18"/>
              </w:rPr>
              <w:t>INDICATORI</w:t>
            </w:r>
          </w:p>
        </w:tc>
        <w:tc>
          <w:tcPr>
            <w:tcW w:w="1375" w:type="pct"/>
            <w:gridSpan w:val="4"/>
            <w:shd w:val="clear" w:color="000000" w:fill="D9D9D9"/>
            <w:noWrap/>
            <w:vAlign w:val="center"/>
            <w:hideMark/>
          </w:tcPr>
          <w:p w:rsidR="00261A91" w:rsidRDefault="00261A91" w:rsidP="0000403D">
            <w:pPr>
              <w:spacing w:before="40" w:after="20"/>
              <w:jc w:val="center"/>
              <w:rPr>
                <w:rFonts w:ascii="Arial Narrow" w:hAnsi="Arial Narrow" w:cs="Calibri"/>
                <w:b/>
                <w:bCs/>
                <w:color w:val="000000"/>
                <w:sz w:val="18"/>
                <w:szCs w:val="18"/>
              </w:rPr>
            </w:pPr>
            <w:r>
              <w:rPr>
                <w:rFonts w:ascii="Arial Narrow" w:hAnsi="Arial Narrow" w:cs="Calibri"/>
                <w:b/>
                <w:bCs/>
                <w:color w:val="000000"/>
                <w:sz w:val="18"/>
                <w:szCs w:val="18"/>
              </w:rPr>
              <w:t>Centri</w:t>
            </w:r>
          </w:p>
        </w:tc>
        <w:tc>
          <w:tcPr>
            <w:tcW w:w="1854" w:type="pct"/>
            <w:gridSpan w:val="4"/>
            <w:shd w:val="clear" w:color="000000" w:fill="FFFFFF"/>
            <w:noWrap/>
            <w:vAlign w:val="center"/>
            <w:hideMark/>
          </w:tcPr>
          <w:p w:rsidR="00261A91" w:rsidRDefault="00261A91" w:rsidP="0000403D">
            <w:pPr>
              <w:spacing w:before="40" w:after="20"/>
              <w:jc w:val="center"/>
              <w:rPr>
                <w:rFonts w:ascii="Arial Narrow" w:hAnsi="Arial Narrow" w:cs="Calibri"/>
                <w:b/>
                <w:bCs/>
                <w:color w:val="000000"/>
                <w:sz w:val="18"/>
                <w:szCs w:val="18"/>
              </w:rPr>
            </w:pPr>
            <w:r>
              <w:rPr>
                <w:rFonts w:ascii="Arial Narrow" w:hAnsi="Arial Narrow" w:cs="Calibri"/>
                <w:b/>
                <w:bCs/>
                <w:color w:val="000000"/>
                <w:sz w:val="18"/>
                <w:szCs w:val="18"/>
              </w:rPr>
              <w:t>Aree interne</w:t>
            </w:r>
          </w:p>
        </w:tc>
        <w:tc>
          <w:tcPr>
            <w:tcW w:w="536" w:type="pct"/>
            <w:vMerge w:val="restart"/>
            <w:shd w:val="clear" w:color="000000" w:fill="C9321F"/>
            <w:noWrap/>
            <w:vAlign w:val="center"/>
            <w:hideMark/>
          </w:tcPr>
          <w:p w:rsidR="00261A91" w:rsidRDefault="00261A91" w:rsidP="0000403D">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BASILICATA</w:t>
            </w:r>
          </w:p>
        </w:tc>
      </w:tr>
      <w:tr w:rsidR="00261A91" w:rsidTr="00F77FF1">
        <w:trPr>
          <w:trHeight w:val="255"/>
        </w:trPr>
        <w:tc>
          <w:tcPr>
            <w:tcW w:w="1235" w:type="pct"/>
            <w:vMerge/>
            <w:vAlign w:val="center"/>
            <w:hideMark/>
          </w:tcPr>
          <w:p w:rsidR="00261A91" w:rsidRDefault="00261A91" w:rsidP="0000403D">
            <w:pPr>
              <w:spacing w:before="40" w:after="20"/>
              <w:rPr>
                <w:rFonts w:ascii="Arial Narrow" w:hAnsi="Arial Narrow" w:cs="Calibri"/>
                <w:b/>
                <w:bCs/>
                <w:color w:val="000000"/>
                <w:sz w:val="18"/>
                <w:szCs w:val="18"/>
              </w:rPr>
            </w:pPr>
          </w:p>
        </w:tc>
        <w:tc>
          <w:tcPr>
            <w:tcW w:w="458" w:type="pct"/>
            <w:shd w:val="clear" w:color="auto" w:fill="auto"/>
            <w:tcMar>
              <w:left w:w="0" w:type="dxa"/>
              <w:right w:w="0" w:type="dxa"/>
            </w:tcMar>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 xml:space="preserve"> Polo</w:t>
            </w:r>
          </w:p>
        </w:tc>
        <w:tc>
          <w:tcPr>
            <w:tcW w:w="458" w:type="pct"/>
            <w:shd w:val="clear" w:color="auto" w:fill="auto"/>
            <w:tcMar>
              <w:left w:w="0" w:type="dxa"/>
              <w:right w:w="0" w:type="dxa"/>
            </w:tcMar>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 xml:space="preserve"> Cintura</w:t>
            </w:r>
          </w:p>
        </w:tc>
        <w:tc>
          <w:tcPr>
            <w:tcW w:w="423" w:type="pct"/>
            <w:shd w:val="clear" w:color="auto" w:fill="auto"/>
            <w:tcMar>
              <w:left w:w="0" w:type="dxa"/>
              <w:right w:w="0" w:type="dxa"/>
            </w:tcMar>
            <w:vAlign w:val="center"/>
            <w:hideMark/>
          </w:tcPr>
          <w:p w:rsidR="00261A91" w:rsidRDefault="00261A91" w:rsidP="0000403D">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Totale</w:t>
            </w:r>
          </w:p>
        </w:tc>
        <w:tc>
          <w:tcPr>
            <w:tcW w:w="494" w:type="pct"/>
            <w:gridSpan w:val="2"/>
            <w:shd w:val="clear" w:color="auto" w:fill="auto"/>
            <w:tcMar>
              <w:left w:w="0" w:type="dxa"/>
              <w:right w:w="0" w:type="dxa"/>
            </w:tcMar>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 xml:space="preserve"> Intermedio </w:t>
            </w:r>
          </w:p>
        </w:tc>
        <w:tc>
          <w:tcPr>
            <w:tcW w:w="459" w:type="pct"/>
            <w:shd w:val="clear" w:color="auto" w:fill="auto"/>
            <w:tcMar>
              <w:left w:w="0" w:type="dxa"/>
              <w:right w:w="0" w:type="dxa"/>
            </w:tcMar>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 xml:space="preserve"> Periferico</w:t>
            </w:r>
          </w:p>
        </w:tc>
        <w:tc>
          <w:tcPr>
            <w:tcW w:w="477" w:type="pct"/>
            <w:shd w:val="clear" w:color="auto" w:fill="auto"/>
            <w:tcMar>
              <w:left w:w="0" w:type="dxa"/>
              <w:right w:w="0" w:type="dxa"/>
            </w:tcMar>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 xml:space="preserve"> Ultra</w:t>
            </w:r>
            <w:r w:rsidR="00305593">
              <w:rPr>
                <w:rFonts w:ascii="Arial Narrow" w:hAnsi="Arial Narrow" w:cs="Calibri"/>
                <w:color w:val="000000"/>
                <w:sz w:val="18"/>
                <w:szCs w:val="18"/>
              </w:rPr>
              <w:t>-</w:t>
            </w:r>
            <w:r>
              <w:rPr>
                <w:rFonts w:ascii="Arial Narrow" w:hAnsi="Arial Narrow" w:cs="Calibri"/>
                <w:color w:val="000000"/>
                <w:sz w:val="18"/>
                <w:szCs w:val="18"/>
              </w:rPr>
              <w:t>periferico</w:t>
            </w:r>
          </w:p>
        </w:tc>
        <w:tc>
          <w:tcPr>
            <w:tcW w:w="460" w:type="pct"/>
            <w:shd w:val="clear" w:color="auto" w:fill="auto"/>
            <w:tcMar>
              <w:left w:w="0" w:type="dxa"/>
              <w:right w:w="0" w:type="dxa"/>
            </w:tcMar>
            <w:vAlign w:val="center"/>
            <w:hideMark/>
          </w:tcPr>
          <w:p w:rsidR="00261A91" w:rsidRDefault="00261A91" w:rsidP="0000403D">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Totale</w:t>
            </w:r>
          </w:p>
        </w:tc>
        <w:tc>
          <w:tcPr>
            <w:tcW w:w="536" w:type="pct"/>
            <w:vMerge/>
            <w:vAlign w:val="center"/>
            <w:hideMark/>
          </w:tcPr>
          <w:p w:rsidR="00261A91" w:rsidRDefault="00261A91" w:rsidP="0000403D">
            <w:pPr>
              <w:spacing w:before="40" w:after="20"/>
              <w:rPr>
                <w:rFonts w:ascii="Arial Narrow" w:hAnsi="Arial Narrow" w:cs="Calibri"/>
                <w:b/>
                <w:bCs/>
                <w:color w:val="FFFFFF"/>
                <w:sz w:val="18"/>
                <w:szCs w:val="18"/>
              </w:rPr>
            </w:pPr>
          </w:p>
        </w:tc>
      </w:tr>
      <w:tr w:rsidR="00261A91" w:rsidTr="00F77FF1">
        <w:trPr>
          <w:trHeight w:val="255"/>
        </w:trPr>
        <w:tc>
          <w:tcPr>
            <w:tcW w:w="1235" w:type="pct"/>
            <w:shd w:val="clear" w:color="auto" w:fill="auto"/>
            <w:vAlign w:val="center"/>
            <w:hideMark/>
          </w:tcPr>
          <w:p w:rsidR="00261A91" w:rsidRDefault="00261A91" w:rsidP="0000403D">
            <w:pPr>
              <w:spacing w:before="40" w:after="20"/>
              <w:rPr>
                <w:rFonts w:ascii="Arial Narrow" w:hAnsi="Arial Narrow" w:cs="Calibri"/>
                <w:color w:val="000000"/>
                <w:sz w:val="18"/>
                <w:szCs w:val="18"/>
              </w:rPr>
            </w:pPr>
            <w:r>
              <w:rPr>
                <w:rFonts w:ascii="Arial Narrow" w:hAnsi="Arial Narrow" w:cs="Calibri"/>
                <w:color w:val="000000"/>
                <w:sz w:val="18"/>
                <w:szCs w:val="18"/>
              </w:rPr>
              <w:t>Incidenza della popolazione straniera</w:t>
            </w:r>
          </w:p>
        </w:tc>
        <w:tc>
          <w:tcPr>
            <w:tcW w:w="458" w:type="pct"/>
            <w:shd w:val="clear" w:color="000000" w:fill="D9D9D9"/>
            <w:noWrap/>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3,7</w:t>
            </w:r>
          </w:p>
        </w:tc>
        <w:tc>
          <w:tcPr>
            <w:tcW w:w="458" w:type="pct"/>
            <w:shd w:val="clear" w:color="auto" w:fill="auto"/>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2,5</w:t>
            </w:r>
          </w:p>
        </w:tc>
        <w:tc>
          <w:tcPr>
            <w:tcW w:w="459" w:type="pct"/>
            <w:gridSpan w:val="2"/>
            <w:shd w:val="clear" w:color="000000" w:fill="D9D9D9"/>
            <w:vAlign w:val="center"/>
            <w:hideMark/>
          </w:tcPr>
          <w:p w:rsidR="00261A91" w:rsidRDefault="00261A91" w:rsidP="0000403D">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3,5</w:t>
            </w:r>
          </w:p>
        </w:tc>
        <w:tc>
          <w:tcPr>
            <w:tcW w:w="458" w:type="pct"/>
            <w:shd w:val="clear" w:color="auto" w:fill="auto"/>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3,6</w:t>
            </w:r>
          </w:p>
        </w:tc>
        <w:tc>
          <w:tcPr>
            <w:tcW w:w="459" w:type="pct"/>
            <w:shd w:val="clear" w:color="000000" w:fill="D9D9D9"/>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4,6</w:t>
            </w:r>
          </w:p>
        </w:tc>
        <w:tc>
          <w:tcPr>
            <w:tcW w:w="477" w:type="pct"/>
            <w:shd w:val="clear" w:color="auto" w:fill="auto"/>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4,0</w:t>
            </w:r>
          </w:p>
        </w:tc>
        <w:tc>
          <w:tcPr>
            <w:tcW w:w="460" w:type="pct"/>
            <w:shd w:val="clear" w:color="000000" w:fill="D9D9D9"/>
            <w:vAlign w:val="center"/>
            <w:hideMark/>
          </w:tcPr>
          <w:p w:rsidR="00261A91" w:rsidRDefault="00261A91" w:rsidP="0000403D">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4,3</w:t>
            </w:r>
          </w:p>
        </w:tc>
        <w:tc>
          <w:tcPr>
            <w:tcW w:w="536" w:type="pct"/>
            <w:shd w:val="clear" w:color="000000" w:fill="C9321F"/>
            <w:noWrap/>
            <w:vAlign w:val="center"/>
            <w:hideMark/>
          </w:tcPr>
          <w:p w:rsidR="00261A91" w:rsidRDefault="00261A91" w:rsidP="0000403D">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4,1</w:t>
            </w:r>
          </w:p>
        </w:tc>
      </w:tr>
      <w:tr w:rsidR="00261A91" w:rsidTr="00F77FF1">
        <w:trPr>
          <w:trHeight w:val="255"/>
        </w:trPr>
        <w:tc>
          <w:tcPr>
            <w:tcW w:w="1235" w:type="pct"/>
            <w:shd w:val="clear" w:color="auto" w:fill="auto"/>
            <w:vAlign w:val="center"/>
            <w:hideMark/>
          </w:tcPr>
          <w:p w:rsidR="00261A91" w:rsidRDefault="00261A91" w:rsidP="0000403D">
            <w:pPr>
              <w:spacing w:before="40" w:after="20"/>
              <w:rPr>
                <w:rFonts w:ascii="Arial Narrow" w:hAnsi="Arial Narrow" w:cs="Calibri"/>
                <w:color w:val="000000"/>
                <w:sz w:val="18"/>
                <w:szCs w:val="18"/>
              </w:rPr>
            </w:pPr>
            <w:r>
              <w:rPr>
                <w:rFonts w:ascii="Arial Narrow" w:hAnsi="Arial Narrow" w:cs="Calibri"/>
                <w:color w:val="000000"/>
                <w:sz w:val="18"/>
                <w:szCs w:val="18"/>
              </w:rPr>
              <w:t>Rapporto di mascolinità</w:t>
            </w:r>
          </w:p>
        </w:tc>
        <w:tc>
          <w:tcPr>
            <w:tcW w:w="458" w:type="pct"/>
            <w:shd w:val="clear" w:color="000000" w:fill="D9D9D9"/>
            <w:noWrap/>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94,0</w:t>
            </w:r>
          </w:p>
        </w:tc>
        <w:tc>
          <w:tcPr>
            <w:tcW w:w="458" w:type="pct"/>
            <w:shd w:val="clear" w:color="auto" w:fill="auto"/>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99,2</w:t>
            </w:r>
          </w:p>
        </w:tc>
        <w:tc>
          <w:tcPr>
            <w:tcW w:w="459" w:type="pct"/>
            <w:gridSpan w:val="2"/>
            <w:shd w:val="clear" w:color="000000" w:fill="D9D9D9"/>
            <w:vAlign w:val="center"/>
            <w:hideMark/>
          </w:tcPr>
          <w:p w:rsidR="00261A91" w:rsidRDefault="00261A91" w:rsidP="0000403D">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94,7</w:t>
            </w:r>
          </w:p>
        </w:tc>
        <w:tc>
          <w:tcPr>
            <w:tcW w:w="458" w:type="pct"/>
            <w:shd w:val="clear" w:color="auto" w:fill="auto"/>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98,6</w:t>
            </w:r>
          </w:p>
        </w:tc>
        <w:tc>
          <w:tcPr>
            <w:tcW w:w="459" w:type="pct"/>
            <w:shd w:val="clear" w:color="000000" w:fill="D9D9D9"/>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97,5</w:t>
            </w:r>
          </w:p>
        </w:tc>
        <w:tc>
          <w:tcPr>
            <w:tcW w:w="477" w:type="pct"/>
            <w:shd w:val="clear" w:color="auto" w:fill="auto"/>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97,0</w:t>
            </w:r>
          </w:p>
        </w:tc>
        <w:tc>
          <w:tcPr>
            <w:tcW w:w="460" w:type="pct"/>
            <w:shd w:val="clear" w:color="000000" w:fill="D9D9D9"/>
            <w:vAlign w:val="center"/>
            <w:hideMark/>
          </w:tcPr>
          <w:p w:rsidR="00261A91" w:rsidRDefault="00261A91" w:rsidP="0000403D">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97,6</w:t>
            </w:r>
          </w:p>
        </w:tc>
        <w:tc>
          <w:tcPr>
            <w:tcW w:w="536" w:type="pct"/>
            <w:shd w:val="clear" w:color="000000" w:fill="C9321F"/>
            <w:noWrap/>
            <w:vAlign w:val="center"/>
            <w:hideMark/>
          </w:tcPr>
          <w:p w:rsidR="00261A91" w:rsidRDefault="00261A91" w:rsidP="0000403D">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96,8</w:t>
            </w:r>
          </w:p>
        </w:tc>
      </w:tr>
      <w:tr w:rsidR="00261A91" w:rsidTr="00F77FF1">
        <w:trPr>
          <w:trHeight w:val="255"/>
        </w:trPr>
        <w:tc>
          <w:tcPr>
            <w:tcW w:w="1235" w:type="pct"/>
            <w:shd w:val="clear" w:color="auto" w:fill="auto"/>
            <w:vAlign w:val="center"/>
            <w:hideMark/>
          </w:tcPr>
          <w:p w:rsidR="00261A91" w:rsidRDefault="00261A91" w:rsidP="0000403D">
            <w:pPr>
              <w:spacing w:before="40" w:after="20"/>
              <w:rPr>
                <w:rFonts w:ascii="Arial Narrow" w:hAnsi="Arial Narrow" w:cs="Calibri"/>
                <w:color w:val="000000"/>
                <w:sz w:val="18"/>
                <w:szCs w:val="18"/>
              </w:rPr>
            </w:pPr>
            <w:r>
              <w:rPr>
                <w:rFonts w:ascii="Arial Narrow" w:hAnsi="Arial Narrow" w:cs="Calibri"/>
                <w:color w:val="000000"/>
                <w:sz w:val="18"/>
                <w:szCs w:val="18"/>
              </w:rPr>
              <w:t>Età media</w:t>
            </w:r>
          </w:p>
        </w:tc>
        <w:tc>
          <w:tcPr>
            <w:tcW w:w="458" w:type="pct"/>
            <w:shd w:val="clear" w:color="000000" w:fill="D9D9D9"/>
            <w:noWrap/>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45,3</w:t>
            </w:r>
          </w:p>
        </w:tc>
        <w:tc>
          <w:tcPr>
            <w:tcW w:w="458" w:type="pct"/>
            <w:shd w:val="clear" w:color="auto" w:fill="auto"/>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43,1</w:t>
            </w:r>
          </w:p>
        </w:tc>
        <w:tc>
          <w:tcPr>
            <w:tcW w:w="459" w:type="pct"/>
            <w:gridSpan w:val="2"/>
            <w:shd w:val="clear" w:color="000000" w:fill="D9D9D9"/>
            <w:vAlign w:val="center"/>
            <w:hideMark/>
          </w:tcPr>
          <w:p w:rsidR="00261A91" w:rsidRDefault="00261A91" w:rsidP="0000403D">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45,0</w:t>
            </w:r>
          </w:p>
        </w:tc>
        <w:tc>
          <w:tcPr>
            <w:tcW w:w="458" w:type="pct"/>
            <w:shd w:val="clear" w:color="auto" w:fill="auto"/>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45,4</w:t>
            </w:r>
          </w:p>
        </w:tc>
        <w:tc>
          <w:tcPr>
            <w:tcW w:w="459" w:type="pct"/>
            <w:shd w:val="clear" w:color="000000" w:fill="D9D9D9"/>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45,5</w:t>
            </w:r>
          </w:p>
        </w:tc>
        <w:tc>
          <w:tcPr>
            <w:tcW w:w="477" w:type="pct"/>
            <w:shd w:val="clear" w:color="auto" w:fill="auto"/>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47,1</w:t>
            </w:r>
          </w:p>
        </w:tc>
        <w:tc>
          <w:tcPr>
            <w:tcW w:w="460" w:type="pct"/>
            <w:shd w:val="clear" w:color="000000" w:fill="D9D9D9"/>
            <w:vAlign w:val="center"/>
            <w:hideMark/>
          </w:tcPr>
          <w:p w:rsidR="00261A91" w:rsidRDefault="00261A91" w:rsidP="0000403D">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45,9</w:t>
            </w:r>
          </w:p>
        </w:tc>
        <w:tc>
          <w:tcPr>
            <w:tcW w:w="536" w:type="pct"/>
            <w:shd w:val="clear" w:color="000000" w:fill="C9321F"/>
            <w:noWrap/>
            <w:vAlign w:val="center"/>
            <w:hideMark/>
          </w:tcPr>
          <w:p w:rsidR="00261A91" w:rsidRDefault="00261A91" w:rsidP="0000403D">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45,7</w:t>
            </w:r>
          </w:p>
        </w:tc>
      </w:tr>
      <w:tr w:rsidR="00261A91" w:rsidTr="00F77FF1">
        <w:trPr>
          <w:trHeight w:val="255"/>
        </w:trPr>
        <w:tc>
          <w:tcPr>
            <w:tcW w:w="1235" w:type="pct"/>
            <w:shd w:val="clear" w:color="auto" w:fill="auto"/>
            <w:vAlign w:val="center"/>
            <w:hideMark/>
          </w:tcPr>
          <w:p w:rsidR="00261A91" w:rsidRDefault="00261A91" w:rsidP="0000403D">
            <w:pPr>
              <w:spacing w:before="40" w:after="20"/>
              <w:rPr>
                <w:rFonts w:ascii="Arial Narrow" w:hAnsi="Arial Narrow" w:cs="Calibri"/>
                <w:color w:val="000000"/>
                <w:sz w:val="18"/>
                <w:szCs w:val="18"/>
              </w:rPr>
            </w:pPr>
            <w:r>
              <w:rPr>
                <w:rFonts w:ascii="Arial Narrow" w:hAnsi="Arial Narrow" w:cs="Calibri"/>
                <w:color w:val="000000"/>
                <w:sz w:val="18"/>
                <w:szCs w:val="18"/>
              </w:rPr>
              <w:t>Indice di vecchiaia</w:t>
            </w:r>
          </w:p>
        </w:tc>
        <w:tc>
          <w:tcPr>
            <w:tcW w:w="458" w:type="pct"/>
            <w:shd w:val="clear" w:color="000000" w:fill="D9D9D9"/>
            <w:noWrap/>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188,6</w:t>
            </w:r>
          </w:p>
        </w:tc>
        <w:tc>
          <w:tcPr>
            <w:tcW w:w="458" w:type="pct"/>
            <w:shd w:val="clear" w:color="auto" w:fill="auto"/>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132,7</w:t>
            </w:r>
          </w:p>
        </w:tc>
        <w:tc>
          <w:tcPr>
            <w:tcW w:w="459" w:type="pct"/>
            <w:gridSpan w:val="2"/>
            <w:shd w:val="clear" w:color="000000" w:fill="D9D9D9"/>
            <w:vAlign w:val="center"/>
            <w:hideMark/>
          </w:tcPr>
          <w:p w:rsidR="00261A91" w:rsidRDefault="00261A91" w:rsidP="0000403D">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180,1</w:t>
            </w:r>
          </w:p>
        </w:tc>
        <w:tc>
          <w:tcPr>
            <w:tcW w:w="458" w:type="pct"/>
            <w:shd w:val="clear" w:color="auto" w:fill="auto"/>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193,5</w:t>
            </w:r>
          </w:p>
        </w:tc>
        <w:tc>
          <w:tcPr>
            <w:tcW w:w="459" w:type="pct"/>
            <w:shd w:val="clear" w:color="000000" w:fill="D9D9D9"/>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199,7</w:t>
            </w:r>
          </w:p>
        </w:tc>
        <w:tc>
          <w:tcPr>
            <w:tcW w:w="477" w:type="pct"/>
            <w:shd w:val="clear" w:color="auto" w:fill="auto"/>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245,4</w:t>
            </w:r>
          </w:p>
        </w:tc>
        <w:tc>
          <w:tcPr>
            <w:tcW w:w="460" w:type="pct"/>
            <w:shd w:val="clear" w:color="000000" w:fill="D9D9D9"/>
            <w:vAlign w:val="center"/>
            <w:hideMark/>
          </w:tcPr>
          <w:p w:rsidR="00261A91" w:rsidRDefault="00261A91" w:rsidP="0000403D">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208,9</w:t>
            </w:r>
          </w:p>
        </w:tc>
        <w:tc>
          <w:tcPr>
            <w:tcW w:w="536" w:type="pct"/>
            <w:shd w:val="clear" w:color="000000" w:fill="C9321F"/>
            <w:noWrap/>
            <w:vAlign w:val="center"/>
            <w:hideMark/>
          </w:tcPr>
          <w:p w:rsidR="00261A91" w:rsidRDefault="00261A91" w:rsidP="0000403D">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200,8</w:t>
            </w:r>
          </w:p>
        </w:tc>
      </w:tr>
      <w:tr w:rsidR="00261A91" w:rsidTr="00F77FF1">
        <w:trPr>
          <w:trHeight w:val="255"/>
        </w:trPr>
        <w:tc>
          <w:tcPr>
            <w:tcW w:w="1235" w:type="pct"/>
            <w:shd w:val="clear" w:color="auto" w:fill="auto"/>
            <w:vAlign w:val="center"/>
            <w:hideMark/>
          </w:tcPr>
          <w:p w:rsidR="00261A91" w:rsidRDefault="00261A91" w:rsidP="0000403D">
            <w:pPr>
              <w:spacing w:before="40" w:after="20"/>
              <w:rPr>
                <w:rFonts w:ascii="Arial Narrow" w:hAnsi="Arial Narrow" w:cs="Calibri"/>
                <w:color w:val="000000"/>
                <w:sz w:val="18"/>
                <w:szCs w:val="18"/>
              </w:rPr>
            </w:pPr>
            <w:r>
              <w:rPr>
                <w:rFonts w:ascii="Arial Narrow" w:hAnsi="Arial Narrow" w:cs="Calibri"/>
                <w:color w:val="000000"/>
                <w:sz w:val="18"/>
                <w:szCs w:val="18"/>
              </w:rPr>
              <w:t>Indice di dipendenza</w:t>
            </w:r>
          </w:p>
        </w:tc>
        <w:tc>
          <w:tcPr>
            <w:tcW w:w="458" w:type="pct"/>
            <w:shd w:val="clear" w:color="000000" w:fill="D9D9D9"/>
            <w:noWrap/>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54,4</w:t>
            </w:r>
          </w:p>
        </w:tc>
        <w:tc>
          <w:tcPr>
            <w:tcW w:w="458" w:type="pct"/>
            <w:shd w:val="clear" w:color="auto" w:fill="auto"/>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48,8</w:t>
            </w:r>
          </w:p>
        </w:tc>
        <w:tc>
          <w:tcPr>
            <w:tcW w:w="459" w:type="pct"/>
            <w:gridSpan w:val="2"/>
            <w:shd w:val="clear" w:color="000000" w:fill="D9D9D9"/>
            <w:vAlign w:val="center"/>
            <w:hideMark/>
          </w:tcPr>
          <w:p w:rsidR="00261A91" w:rsidRDefault="00261A91" w:rsidP="0000403D">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53,6</w:t>
            </w:r>
          </w:p>
        </w:tc>
        <w:tc>
          <w:tcPr>
            <w:tcW w:w="458" w:type="pct"/>
            <w:shd w:val="clear" w:color="auto" w:fill="auto"/>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53,7</w:t>
            </w:r>
          </w:p>
        </w:tc>
        <w:tc>
          <w:tcPr>
            <w:tcW w:w="459" w:type="pct"/>
            <w:shd w:val="clear" w:color="000000" w:fill="D9D9D9"/>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53,7</w:t>
            </w:r>
          </w:p>
        </w:tc>
        <w:tc>
          <w:tcPr>
            <w:tcW w:w="477" w:type="pct"/>
            <w:shd w:val="clear" w:color="auto" w:fill="auto"/>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57,3</w:t>
            </w:r>
          </w:p>
        </w:tc>
        <w:tc>
          <w:tcPr>
            <w:tcW w:w="460" w:type="pct"/>
            <w:shd w:val="clear" w:color="000000" w:fill="D9D9D9"/>
            <w:vAlign w:val="center"/>
            <w:hideMark/>
          </w:tcPr>
          <w:p w:rsidR="00261A91" w:rsidRDefault="00261A91" w:rsidP="0000403D">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54,6</w:t>
            </w:r>
          </w:p>
        </w:tc>
        <w:tc>
          <w:tcPr>
            <w:tcW w:w="536" w:type="pct"/>
            <w:shd w:val="clear" w:color="000000" w:fill="C9321F"/>
            <w:noWrap/>
            <w:vAlign w:val="center"/>
            <w:hideMark/>
          </w:tcPr>
          <w:p w:rsidR="00261A91" w:rsidRDefault="00261A91" w:rsidP="0000403D">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54,3</w:t>
            </w:r>
          </w:p>
        </w:tc>
      </w:tr>
      <w:tr w:rsidR="00261A91" w:rsidTr="00F77FF1">
        <w:trPr>
          <w:trHeight w:val="255"/>
        </w:trPr>
        <w:tc>
          <w:tcPr>
            <w:tcW w:w="1235" w:type="pct"/>
            <w:shd w:val="clear" w:color="auto" w:fill="auto"/>
            <w:vAlign w:val="center"/>
            <w:hideMark/>
          </w:tcPr>
          <w:p w:rsidR="00261A91" w:rsidRDefault="00261A91" w:rsidP="0000403D">
            <w:pPr>
              <w:spacing w:before="40" w:after="20"/>
              <w:rPr>
                <w:rFonts w:ascii="Arial Narrow" w:hAnsi="Arial Narrow" w:cs="Calibri"/>
                <w:color w:val="000000"/>
                <w:sz w:val="18"/>
                <w:szCs w:val="18"/>
              </w:rPr>
            </w:pPr>
            <w:r>
              <w:rPr>
                <w:rFonts w:ascii="Arial Narrow" w:hAnsi="Arial Narrow" w:cs="Calibri"/>
                <w:color w:val="000000"/>
                <w:sz w:val="18"/>
                <w:szCs w:val="18"/>
              </w:rPr>
              <w:t>Indice di dipendenza anziani</w:t>
            </w:r>
          </w:p>
        </w:tc>
        <w:tc>
          <w:tcPr>
            <w:tcW w:w="458" w:type="pct"/>
            <w:shd w:val="clear" w:color="000000" w:fill="D9D9D9"/>
            <w:noWrap/>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35,5</w:t>
            </w:r>
          </w:p>
        </w:tc>
        <w:tc>
          <w:tcPr>
            <w:tcW w:w="458" w:type="pct"/>
            <w:shd w:val="clear" w:color="auto" w:fill="auto"/>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27,9</w:t>
            </w:r>
          </w:p>
        </w:tc>
        <w:tc>
          <w:tcPr>
            <w:tcW w:w="459" w:type="pct"/>
            <w:gridSpan w:val="2"/>
            <w:shd w:val="clear" w:color="000000" w:fill="D9D9D9"/>
            <w:vAlign w:val="center"/>
            <w:hideMark/>
          </w:tcPr>
          <w:p w:rsidR="00261A91" w:rsidRDefault="00261A91" w:rsidP="0000403D">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34,5</w:t>
            </w:r>
          </w:p>
        </w:tc>
        <w:tc>
          <w:tcPr>
            <w:tcW w:w="458" w:type="pct"/>
            <w:shd w:val="clear" w:color="auto" w:fill="auto"/>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35,4</w:t>
            </w:r>
          </w:p>
        </w:tc>
        <w:tc>
          <w:tcPr>
            <w:tcW w:w="459" w:type="pct"/>
            <w:shd w:val="clear" w:color="000000" w:fill="D9D9D9"/>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35,8</w:t>
            </w:r>
          </w:p>
        </w:tc>
        <w:tc>
          <w:tcPr>
            <w:tcW w:w="477" w:type="pct"/>
            <w:shd w:val="clear" w:color="auto" w:fill="auto"/>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40,7</w:t>
            </w:r>
          </w:p>
        </w:tc>
        <w:tc>
          <w:tcPr>
            <w:tcW w:w="460" w:type="pct"/>
            <w:shd w:val="clear" w:color="000000" w:fill="D9D9D9"/>
            <w:vAlign w:val="center"/>
            <w:hideMark/>
          </w:tcPr>
          <w:p w:rsidR="00261A91" w:rsidRDefault="00261A91" w:rsidP="0000403D">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36,9</w:t>
            </w:r>
          </w:p>
        </w:tc>
        <w:tc>
          <w:tcPr>
            <w:tcW w:w="536" w:type="pct"/>
            <w:shd w:val="clear" w:color="000000" w:fill="C9321F"/>
            <w:noWrap/>
            <w:vAlign w:val="center"/>
            <w:hideMark/>
          </w:tcPr>
          <w:p w:rsidR="00261A91" w:rsidRDefault="00261A91" w:rsidP="0000403D">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36,3</w:t>
            </w:r>
          </w:p>
        </w:tc>
      </w:tr>
      <w:tr w:rsidR="00261A91" w:rsidTr="00F77FF1">
        <w:trPr>
          <w:trHeight w:val="255"/>
        </w:trPr>
        <w:tc>
          <w:tcPr>
            <w:tcW w:w="1235" w:type="pct"/>
            <w:shd w:val="clear" w:color="auto" w:fill="auto"/>
            <w:vAlign w:val="center"/>
            <w:hideMark/>
          </w:tcPr>
          <w:p w:rsidR="00261A91" w:rsidRDefault="00261A91" w:rsidP="0000403D">
            <w:pPr>
              <w:spacing w:before="40" w:after="20"/>
              <w:rPr>
                <w:rFonts w:ascii="Arial Narrow" w:hAnsi="Arial Narrow" w:cs="Calibri"/>
                <w:color w:val="000000"/>
                <w:sz w:val="18"/>
                <w:szCs w:val="18"/>
              </w:rPr>
            </w:pPr>
            <w:r>
              <w:rPr>
                <w:rFonts w:ascii="Arial Narrow" w:hAnsi="Arial Narrow" w:cs="Calibri"/>
                <w:color w:val="000000"/>
                <w:sz w:val="18"/>
                <w:szCs w:val="18"/>
              </w:rPr>
              <w:t>Indice di struttura della popolazione attiva</w:t>
            </w:r>
          </w:p>
        </w:tc>
        <w:tc>
          <w:tcPr>
            <w:tcW w:w="458" w:type="pct"/>
            <w:shd w:val="clear" w:color="000000" w:fill="D9D9D9"/>
            <w:noWrap/>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138,7</w:t>
            </w:r>
          </w:p>
        </w:tc>
        <w:tc>
          <w:tcPr>
            <w:tcW w:w="458" w:type="pct"/>
            <w:shd w:val="clear" w:color="auto" w:fill="auto"/>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135,9</w:t>
            </w:r>
          </w:p>
        </w:tc>
        <w:tc>
          <w:tcPr>
            <w:tcW w:w="459" w:type="pct"/>
            <w:gridSpan w:val="2"/>
            <w:shd w:val="clear" w:color="000000" w:fill="D9D9D9"/>
            <w:vAlign w:val="center"/>
            <w:hideMark/>
          </w:tcPr>
          <w:p w:rsidR="00261A91" w:rsidRDefault="00261A91" w:rsidP="0000403D">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138,3</w:t>
            </w:r>
          </w:p>
        </w:tc>
        <w:tc>
          <w:tcPr>
            <w:tcW w:w="458" w:type="pct"/>
            <w:shd w:val="clear" w:color="auto" w:fill="auto"/>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131,4</w:t>
            </w:r>
          </w:p>
        </w:tc>
        <w:tc>
          <w:tcPr>
            <w:tcW w:w="459" w:type="pct"/>
            <w:shd w:val="clear" w:color="000000" w:fill="D9D9D9"/>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130,2</w:t>
            </w:r>
          </w:p>
        </w:tc>
        <w:tc>
          <w:tcPr>
            <w:tcW w:w="477" w:type="pct"/>
            <w:shd w:val="clear" w:color="auto" w:fill="auto"/>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135,0</w:t>
            </w:r>
          </w:p>
        </w:tc>
        <w:tc>
          <w:tcPr>
            <w:tcW w:w="460" w:type="pct"/>
            <w:shd w:val="clear" w:color="000000" w:fill="D9D9D9"/>
            <w:vAlign w:val="center"/>
            <w:hideMark/>
          </w:tcPr>
          <w:p w:rsidR="00261A91" w:rsidRDefault="00261A91" w:rsidP="0000403D">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131,5</w:t>
            </w:r>
          </w:p>
        </w:tc>
        <w:tc>
          <w:tcPr>
            <w:tcW w:w="536" w:type="pct"/>
            <w:shd w:val="clear" w:color="000000" w:fill="C9321F"/>
            <w:noWrap/>
            <w:vAlign w:val="center"/>
            <w:hideMark/>
          </w:tcPr>
          <w:p w:rsidR="00261A91" w:rsidRDefault="00261A91" w:rsidP="0000403D">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133,3</w:t>
            </w:r>
          </w:p>
        </w:tc>
      </w:tr>
      <w:tr w:rsidR="00261A91" w:rsidTr="00F77FF1">
        <w:trPr>
          <w:trHeight w:val="255"/>
        </w:trPr>
        <w:tc>
          <w:tcPr>
            <w:tcW w:w="1235" w:type="pct"/>
            <w:shd w:val="clear" w:color="auto" w:fill="auto"/>
            <w:vAlign w:val="center"/>
            <w:hideMark/>
          </w:tcPr>
          <w:p w:rsidR="00261A91" w:rsidRDefault="00261A91" w:rsidP="0000403D">
            <w:pPr>
              <w:spacing w:before="40" w:after="20"/>
              <w:rPr>
                <w:rFonts w:ascii="Arial Narrow" w:hAnsi="Arial Narrow" w:cs="Calibri"/>
                <w:color w:val="000000"/>
                <w:sz w:val="18"/>
                <w:szCs w:val="18"/>
              </w:rPr>
            </w:pPr>
            <w:r>
              <w:rPr>
                <w:rFonts w:ascii="Arial Narrow" w:hAnsi="Arial Narrow" w:cs="Calibri"/>
                <w:color w:val="000000"/>
                <w:sz w:val="18"/>
                <w:szCs w:val="18"/>
              </w:rPr>
              <w:t>% Popolazione con titolo di studio di scuola sec. di II grado</w:t>
            </w:r>
          </w:p>
        </w:tc>
        <w:tc>
          <w:tcPr>
            <w:tcW w:w="458" w:type="pct"/>
            <w:shd w:val="clear" w:color="000000" w:fill="D9D9D9"/>
            <w:noWrap/>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38,7</w:t>
            </w:r>
          </w:p>
        </w:tc>
        <w:tc>
          <w:tcPr>
            <w:tcW w:w="458" w:type="pct"/>
            <w:shd w:val="clear" w:color="auto" w:fill="auto"/>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35,6</w:t>
            </w:r>
          </w:p>
        </w:tc>
        <w:tc>
          <w:tcPr>
            <w:tcW w:w="459" w:type="pct"/>
            <w:gridSpan w:val="2"/>
            <w:shd w:val="clear" w:color="000000" w:fill="D9D9D9"/>
            <w:vAlign w:val="center"/>
            <w:hideMark/>
          </w:tcPr>
          <w:p w:rsidR="00261A91" w:rsidRDefault="00261A91" w:rsidP="0000403D">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38,2</w:t>
            </w:r>
          </w:p>
        </w:tc>
        <w:tc>
          <w:tcPr>
            <w:tcW w:w="458" w:type="pct"/>
            <w:shd w:val="clear" w:color="auto" w:fill="auto"/>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34,0</w:t>
            </w:r>
          </w:p>
        </w:tc>
        <w:tc>
          <w:tcPr>
            <w:tcW w:w="459" w:type="pct"/>
            <w:shd w:val="clear" w:color="000000" w:fill="D9D9D9"/>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34,5</w:t>
            </w:r>
          </w:p>
        </w:tc>
        <w:tc>
          <w:tcPr>
            <w:tcW w:w="477" w:type="pct"/>
            <w:shd w:val="clear" w:color="auto" w:fill="auto"/>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34,0</w:t>
            </w:r>
          </w:p>
        </w:tc>
        <w:tc>
          <w:tcPr>
            <w:tcW w:w="460" w:type="pct"/>
            <w:shd w:val="clear" w:color="000000" w:fill="D9D9D9"/>
            <w:vAlign w:val="center"/>
            <w:hideMark/>
          </w:tcPr>
          <w:p w:rsidR="00261A91" w:rsidRDefault="00261A91" w:rsidP="0000403D">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34,3</w:t>
            </w:r>
          </w:p>
        </w:tc>
        <w:tc>
          <w:tcPr>
            <w:tcW w:w="536" w:type="pct"/>
            <w:shd w:val="clear" w:color="000000" w:fill="C9321F"/>
            <w:noWrap/>
            <w:vAlign w:val="center"/>
            <w:hideMark/>
          </w:tcPr>
          <w:p w:rsidR="00261A91" w:rsidRDefault="00261A91" w:rsidP="0000403D">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35,3</w:t>
            </w:r>
          </w:p>
        </w:tc>
      </w:tr>
      <w:tr w:rsidR="00261A91" w:rsidTr="00F77FF1">
        <w:trPr>
          <w:trHeight w:val="255"/>
        </w:trPr>
        <w:tc>
          <w:tcPr>
            <w:tcW w:w="1235" w:type="pct"/>
            <w:shd w:val="clear" w:color="auto" w:fill="auto"/>
            <w:vAlign w:val="center"/>
            <w:hideMark/>
          </w:tcPr>
          <w:p w:rsidR="00261A91" w:rsidRDefault="00261A91" w:rsidP="0000403D">
            <w:pPr>
              <w:spacing w:before="40" w:after="20"/>
              <w:rPr>
                <w:rFonts w:ascii="Arial Narrow" w:hAnsi="Arial Narrow" w:cs="Calibri"/>
                <w:color w:val="000000"/>
                <w:sz w:val="18"/>
                <w:szCs w:val="18"/>
              </w:rPr>
            </w:pPr>
            <w:r>
              <w:rPr>
                <w:rFonts w:ascii="Arial Narrow" w:hAnsi="Arial Narrow" w:cs="Calibri"/>
                <w:color w:val="000000"/>
                <w:sz w:val="18"/>
                <w:szCs w:val="18"/>
              </w:rPr>
              <w:t>% Popolazione con titolo di studio terziario</w:t>
            </w:r>
          </w:p>
        </w:tc>
        <w:tc>
          <w:tcPr>
            <w:tcW w:w="458" w:type="pct"/>
            <w:shd w:val="clear" w:color="000000" w:fill="D9D9D9"/>
            <w:noWrap/>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19,9</w:t>
            </w:r>
          </w:p>
        </w:tc>
        <w:tc>
          <w:tcPr>
            <w:tcW w:w="458" w:type="pct"/>
            <w:shd w:val="clear" w:color="auto" w:fill="auto"/>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12,8</w:t>
            </w:r>
          </w:p>
        </w:tc>
        <w:tc>
          <w:tcPr>
            <w:tcW w:w="459" w:type="pct"/>
            <w:gridSpan w:val="2"/>
            <w:shd w:val="clear" w:color="000000" w:fill="D9D9D9"/>
            <w:vAlign w:val="center"/>
            <w:hideMark/>
          </w:tcPr>
          <w:p w:rsidR="00261A91" w:rsidRDefault="00261A91" w:rsidP="0000403D">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18,9</w:t>
            </w:r>
          </w:p>
        </w:tc>
        <w:tc>
          <w:tcPr>
            <w:tcW w:w="458" w:type="pct"/>
            <w:shd w:val="clear" w:color="auto" w:fill="auto"/>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11,2</w:t>
            </w:r>
          </w:p>
        </w:tc>
        <w:tc>
          <w:tcPr>
            <w:tcW w:w="459" w:type="pct"/>
            <w:shd w:val="clear" w:color="000000" w:fill="D9D9D9"/>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11,8</w:t>
            </w:r>
          </w:p>
        </w:tc>
        <w:tc>
          <w:tcPr>
            <w:tcW w:w="477" w:type="pct"/>
            <w:shd w:val="clear" w:color="auto" w:fill="auto"/>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11,1</w:t>
            </w:r>
          </w:p>
        </w:tc>
        <w:tc>
          <w:tcPr>
            <w:tcW w:w="460" w:type="pct"/>
            <w:shd w:val="clear" w:color="000000" w:fill="D9D9D9"/>
            <w:vAlign w:val="center"/>
            <w:hideMark/>
          </w:tcPr>
          <w:p w:rsidR="00261A91" w:rsidRDefault="00261A91" w:rsidP="0000403D">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11,5</w:t>
            </w:r>
          </w:p>
        </w:tc>
        <w:tc>
          <w:tcPr>
            <w:tcW w:w="536" w:type="pct"/>
            <w:shd w:val="clear" w:color="000000" w:fill="C9321F"/>
            <w:noWrap/>
            <w:vAlign w:val="center"/>
            <w:hideMark/>
          </w:tcPr>
          <w:p w:rsidR="00261A91" w:rsidRDefault="00261A91" w:rsidP="0000403D">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13,5</w:t>
            </w:r>
          </w:p>
        </w:tc>
      </w:tr>
      <w:tr w:rsidR="00261A91" w:rsidTr="00F77FF1">
        <w:trPr>
          <w:trHeight w:val="255"/>
        </w:trPr>
        <w:tc>
          <w:tcPr>
            <w:tcW w:w="1235" w:type="pct"/>
            <w:shd w:val="clear" w:color="auto" w:fill="auto"/>
            <w:vAlign w:val="center"/>
            <w:hideMark/>
          </w:tcPr>
          <w:p w:rsidR="00261A91" w:rsidRDefault="00261A91" w:rsidP="0000403D">
            <w:pPr>
              <w:spacing w:before="40" w:after="20"/>
              <w:rPr>
                <w:rFonts w:ascii="Arial Narrow" w:hAnsi="Arial Narrow" w:cs="Calibri"/>
                <w:color w:val="000000"/>
                <w:sz w:val="18"/>
                <w:szCs w:val="18"/>
              </w:rPr>
            </w:pPr>
            <w:r>
              <w:rPr>
                <w:rFonts w:ascii="Arial Narrow" w:hAnsi="Arial Narrow" w:cs="Calibri"/>
                <w:color w:val="000000"/>
                <w:sz w:val="18"/>
                <w:szCs w:val="18"/>
              </w:rPr>
              <w:t>Tasso di attività</w:t>
            </w:r>
            <w:r w:rsidR="00AD3457" w:rsidRPr="00361C95">
              <w:rPr>
                <w:rFonts w:ascii="Arial Narrow" w:hAnsi="Arial Narrow" w:cs="Calibri"/>
                <w:color w:val="000000"/>
                <w:sz w:val="18"/>
                <w:szCs w:val="18"/>
                <w:vertAlign w:val="superscript"/>
              </w:rPr>
              <w:t xml:space="preserve"> a)</w:t>
            </w:r>
          </w:p>
        </w:tc>
        <w:tc>
          <w:tcPr>
            <w:tcW w:w="458" w:type="pct"/>
            <w:shd w:val="clear" w:color="000000" w:fill="D9D9D9"/>
            <w:noWrap/>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53,8</w:t>
            </w:r>
          </w:p>
        </w:tc>
        <w:tc>
          <w:tcPr>
            <w:tcW w:w="458" w:type="pct"/>
            <w:shd w:val="clear" w:color="auto" w:fill="auto"/>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54,7</w:t>
            </w:r>
          </w:p>
        </w:tc>
        <w:tc>
          <w:tcPr>
            <w:tcW w:w="459" w:type="pct"/>
            <w:gridSpan w:val="2"/>
            <w:shd w:val="clear" w:color="000000" w:fill="D9D9D9"/>
            <w:vAlign w:val="center"/>
            <w:hideMark/>
          </w:tcPr>
          <w:p w:rsidR="00261A91" w:rsidRDefault="00261A91" w:rsidP="0000403D">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53,9</w:t>
            </w:r>
          </w:p>
        </w:tc>
        <w:tc>
          <w:tcPr>
            <w:tcW w:w="458" w:type="pct"/>
            <w:shd w:val="clear" w:color="auto" w:fill="auto"/>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49,1</w:t>
            </w:r>
          </w:p>
        </w:tc>
        <w:tc>
          <w:tcPr>
            <w:tcW w:w="459" w:type="pct"/>
            <w:shd w:val="clear" w:color="000000" w:fill="D9D9D9"/>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48,9</w:t>
            </w:r>
          </w:p>
        </w:tc>
        <w:tc>
          <w:tcPr>
            <w:tcW w:w="477" w:type="pct"/>
            <w:shd w:val="clear" w:color="auto" w:fill="auto"/>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46,5</w:t>
            </w:r>
          </w:p>
        </w:tc>
        <w:tc>
          <w:tcPr>
            <w:tcW w:w="460" w:type="pct"/>
            <w:shd w:val="clear" w:color="000000" w:fill="D9D9D9"/>
            <w:vAlign w:val="center"/>
            <w:hideMark/>
          </w:tcPr>
          <w:p w:rsidR="00261A91" w:rsidRDefault="00261A91" w:rsidP="0000403D">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48,3</w:t>
            </w:r>
          </w:p>
        </w:tc>
        <w:tc>
          <w:tcPr>
            <w:tcW w:w="536" w:type="pct"/>
            <w:shd w:val="clear" w:color="000000" w:fill="C9321F"/>
            <w:noWrap/>
            <w:vAlign w:val="center"/>
            <w:hideMark/>
          </w:tcPr>
          <w:p w:rsidR="00261A91" w:rsidRDefault="00261A91" w:rsidP="0000403D">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49,8</w:t>
            </w:r>
          </w:p>
        </w:tc>
      </w:tr>
      <w:tr w:rsidR="00261A91" w:rsidTr="00F77FF1">
        <w:trPr>
          <w:trHeight w:val="255"/>
        </w:trPr>
        <w:tc>
          <w:tcPr>
            <w:tcW w:w="1235" w:type="pct"/>
            <w:shd w:val="clear" w:color="auto" w:fill="auto"/>
            <w:vAlign w:val="center"/>
            <w:hideMark/>
          </w:tcPr>
          <w:p w:rsidR="00261A91" w:rsidRDefault="00261A91" w:rsidP="0000403D">
            <w:pPr>
              <w:spacing w:before="40" w:after="20"/>
              <w:rPr>
                <w:rFonts w:ascii="Arial Narrow" w:hAnsi="Arial Narrow" w:cs="Calibri"/>
                <w:color w:val="000000"/>
                <w:sz w:val="18"/>
                <w:szCs w:val="18"/>
              </w:rPr>
            </w:pPr>
            <w:r>
              <w:rPr>
                <w:rFonts w:ascii="Arial Narrow" w:hAnsi="Arial Narrow" w:cs="Calibri"/>
                <w:color w:val="000000"/>
                <w:sz w:val="18"/>
                <w:szCs w:val="18"/>
              </w:rPr>
              <w:t>Tasso di occupazione</w:t>
            </w:r>
            <w:r w:rsidR="00AD3457" w:rsidRPr="00361C95">
              <w:rPr>
                <w:rFonts w:ascii="Arial Narrow" w:hAnsi="Arial Narrow" w:cs="Calibri"/>
                <w:color w:val="000000"/>
                <w:sz w:val="18"/>
                <w:szCs w:val="18"/>
                <w:vertAlign w:val="superscript"/>
              </w:rPr>
              <w:t xml:space="preserve"> a)</w:t>
            </w:r>
          </w:p>
        </w:tc>
        <w:tc>
          <w:tcPr>
            <w:tcW w:w="458" w:type="pct"/>
            <w:shd w:val="clear" w:color="000000" w:fill="D9D9D9"/>
            <w:noWrap/>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45,1</w:t>
            </w:r>
          </w:p>
        </w:tc>
        <w:tc>
          <w:tcPr>
            <w:tcW w:w="458" w:type="pct"/>
            <w:shd w:val="clear" w:color="auto" w:fill="auto"/>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45,3</w:t>
            </w:r>
          </w:p>
        </w:tc>
        <w:tc>
          <w:tcPr>
            <w:tcW w:w="459" w:type="pct"/>
            <w:gridSpan w:val="2"/>
            <w:shd w:val="clear" w:color="000000" w:fill="D9D9D9"/>
            <w:vAlign w:val="center"/>
            <w:hideMark/>
          </w:tcPr>
          <w:p w:rsidR="00261A91" w:rsidRDefault="00261A91" w:rsidP="0000403D">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45,2</w:t>
            </w:r>
          </w:p>
        </w:tc>
        <w:tc>
          <w:tcPr>
            <w:tcW w:w="458" w:type="pct"/>
            <w:shd w:val="clear" w:color="auto" w:fill="auto"/>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40,9</w:t>
            </w:r>
          </w:p>
        </w:tc>
        <w:tc>
          <w:tcPr>
            <w:tcW w:w="459" w:type="pct"/>
            <w:shd w:val="clear" w:color="000000" w:fill="D9D9D9"/>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40,3</w:t>
            </w:r>
          </w:p>
        </w:tc>
        <w:tc>
          <w:tcPr>
            <w:tcW w:w="477" w:type="pct"/>
            <w:shd w:val="clear" w:color="auto" w:fill="auto"/>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38,9</w:t>
            </w:r>
          </w:p>
        </w:tc>
        <w:tc>
          <w:tcPr>
            <w:tcW w:w="460" w:type="pct"/>
            <w:shd w:val="clear" w:color="000000" w:fill="D9D9D9"/>
            <w:vAlign w:val="center"/>
            <w:hideMark/>
          </w:tcPr>
          <w:p w:rsidR="00261A91" w:rsidRDefault="00261A91" w:rsidP="0000403D">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40,1</w:t>
            </w:r>
          </w:p>
        </w:tc>
        <w:tc>
          <w:tcPr>
            <w:tcW w:w="536" w:type="pct"/>
            <w:shd w:val="clear" w:color="000000" w:fill="C9321F"/>
            <w:noWrap/>
            <w:vAlign w:val="center"/>
            <w:hideMark/>
          </w:tcPr>
          <w:p w:rsidR="00261A91" w:rsidRDefault="00261A91" w:rsidP="0000403D">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41,4</w:t>
            </w:r>
          </w:p>
        </w:tc>
      </w:tr>
      <w:tr w:rsidR="00261A91" w:rsidTr="00F77FF1">
        <w:trPr>
          <w:trHeight w:val="255"/>
        </w:trPr>
        <w:tc>
          <w:tcPr>
            <w:tcW w:w="1235" w:type="pct"/>
            <w:shd w:val="clear" w:color="auto" w:fill="auto"/>
            <w:vAlign w:val="center"/>
            <w:hideMark/>
          </w:tcPr>
          <w:p w:rsidR="00261A91" w:rsidRDefault="00261A91" w:rsidP="0000403D">
            <w:pPr>
              <w:spacing w:before="40" w:after="20"/>
              <w:rPr>
                <w:rFonts w:ascii="Arial Narrow" w:hAnsi="Arial Narrow" w:cs="Calibri"/>
                <w:color w:val="000000"/>
                <w:sz w:val="18"/>
                <w:szCs w:val="18"/>
              </w:rPr>
            </w:pPr>
            <w:r>
              <w:rPr>
                <w:rFonts w:ascii="Arial Narrow" w:hAnsi="Arial Narrow" w:cs="Calibri"/>
                <w:color w:val="000000"/>
                <w:sz w:val="18"/>
                <w:szCs w:val="18"/>
              </w:rPr>
              <w:t xml:space="preserve">Tasso di </w:t>
            </w:r>
            <w:r w:rsidR="00D5536E">
              <w:rPr>
                <w:rFonts w:ascii="Arial Narrow" w:hAnsi="Arial Narrow" w:cs="Calibri"/>
                <w:color w:val="000000"/>
                <w:sz w:val="18"/>
                <w:szCs w:val="18"/>
              </w:rPr>
              <w:t>disoccupazione</w:t>
            </w:r>
            <w:r w:rsidR="00AD3457" w:rsidRPr="00361C95">
              <w:rPr>
                <w:rFonts w:ascii="Arial Narrow" w:hAnsi="Arial Narrow" w:cs="Calibri"/>
                <w:color w:val="000000"/>
                <w:sz w:val="18"/>
                <w:szCs w:val="18"/>
                <w:vertAlign w:val="superscript"/>
              </w:rPr>
              <w:t xml:space="preserve"> a)</w:t>
            </w:r>
          </w:p>
        </w:tc>
        <w:tc>
          <w:tcPr>
            <w:tcW w:w="458" w:type="pct"/>
            <w:shd w:val="clear" w:color="000000" w:fill="D9D9D9"/>
            <w:noWrap/>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16,1</w:t>
            </w:r>
          </w:p>
        </w:tc>
        <w:tc>
          <w:tcPr>
            <w:tcW w:w="458" w:type="pct"/>
            <w:shd w:val="clear" w:color="auto" w:fill="auto"/>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17,0</w:t>
            </w:r>
          </w:p>
        </w:tc>
        <w:tc>
          <w:tcPr>
            <w:tcW w:w="459" w:type="pct"/>
            <w:gridSpan w:val="2"/>
            <w:shd w:val="clear" w:color="000000" w:fill="D9D9D9"/>
            <w:vAlign w:val="center"/>
            <w:hideMark/>
          </w:tcPr>
          <w:p w:rsidR="00261A91" w:rsidRDefault="00261A91" w:rsidP="0000403D">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16,2</w:t>
            </w:r>
          </w:p>
        </w:tc>
        <w:tc>
          <w:tcPr>
            <w:tcW w:w="458" w:type="pct"/>
            <w:shd w:val="clear" w:color="auto" w:fill="auto"/>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16,7</w:t>
            </w:r>
          </w:p>
        </w:tc>
        <w:tc>
          <w:tcPr>
            <w:tcW w:w="459" w:type="pct"/>
            <w:shd w:val="clear" w:color="000000" w:fill="D9D9D9"/>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17,5</w:t>
            </w:r>
          </w:p>
        </w:tc>
        <w:tc>
          <w:tcPr>
            <w:tcW w:w="477" w:type="pct"/>
            <w:shd w:val="clear" w:color="auto" w:fill="auto"/>
            <w:vAlign w:val="center"/>
            <w:hideMark/>
          </w:tcPr>
          <w:p w:rsidR="00261A91" w:rsidRDefault="00261A91" w:rsidP="0000403D">
            <w:pPr>
              <w:spacing w:before="40" w:after="20"/>
              <w:jc w:val="right"/>
              <w:rPr>
                <w:rFonts w:ascii="Arial Narrow" w:hAnsi="Arial Narrow" w:cs="Calibri"/>
                <w:color w:val="000000"/>
                <w:sz w:val="18"/>
                <w:szCs w:val="18"/>
              </w:rPr>
            </w:pPr>
            <w:r>
              <w:rPr>
                <w:rFonts w:ascii="Arial Narrow" w:hAnsi="Arial Narrow" w:cs="Calibri"/>
                <w:color w:val="000000"/>
                <w:sz w:val="18"/>
                <w:szCs w:val="18"/>
              </w:rPr>
              <w:t>16,5</w:t>
            </w:r>
          </w:p>
        </w:tc>
        <w:tc>
          <w:tcPr>
            <w:tcW w:w="460" w:type="pct"/>
            <w:shd w:val="clear" w:color="000000" w:fill="D9D9D9"/>
            <w:vAlign w:val="center"/>
            <w:hideMark/>
          </w:tcPr>
          <w:p w:rsidR="00261A91" w:rsidRDefault="00261A91" w:rsidP="0000403D">
            <w:pPr>
              <w:spacing w:before="40" w:after="20"/>
              <w:jc w:val="right"/>
              <w:rPr>
                <w:rFonts w:ascii="Arial Narrow" w:hAnsi="Arial Narrow" w:cs="Calibri"/>
                <w:b/>
                <w:bCs/>
                <w:color w:val="000000"/>
                <w:sz w:val="18"/>
                <w:szCs w:val="18"/>
              </w:rPr>
            </w:pPr>
            <w:r>
              <w:rPr>
                <w:rFonts w:ascii="Arial Narrow" w:hAnsi="Arial Narrow" w:cs="Calibri"/>
                <w:b/>
                <w:bCs/>
                <w:color w:val="000000"/>
                <w:sz w:val="18"/>
                <w:szCs w:val="18"/>
              </w:rPr>
              <w:t>17,1</w:t>
            </w:r>
          </w:p>
        </w:tc>
        <w:tc>
          <w:tcPr>
            <w:tcW w:w="536" w:type="pct"/>
            <w:shd w:val="clear" w:color="000000" w:fill="C9321F"/>
            <w:noWrap/>
            <w:vAlign w:val="center"/>
            <w:hideMark/>
          </w:tcPr>
          <w:p w:rsidR="00261A91" w:rsidRDefault="00261A91" w:rsidP="0000403D">
            <w:pPr>
              <w:spacing w:before="40" w:after="20"/>
              <w:jc w:val="right"/>
              <w:rPr>
                <w:rFonts w:ascii="Arial Narrow" w:hAnsi="Arial Narrow" w:cs="Calibri"/>
                <w:b/>
                <w:bCs/>
                <w:color w:val="FFFFFF"/>
                <w:sz w:val="18"/>
                <w:szCs w:val="18"/>
              </w:rPr>
            </w:pPr>
            <w:r>
              <w:rPr>
                <w:rFonts w:ascii="Arial Narrow" w:hAnsi="Arial Narrow" w:cs="Calibri"/>
                <w:b/>
                <w:bCs/>
                <w:color w:val="FFFFFF"/>
                <w:sz w:val="18"/>
                <w:szCs w:val="18"/>
              </w:rPr>
              <w:t>16,9</w:t>
            </w:r>
          </w:p>
        </w:tc>
      </w:tr>
    </w:tbl>
    <w:p w:rsidR="00AD3457" w:rsidRPr="00261D73" w:rsidRDefault="00AD3457" w:rsidP="00AD3457">
      <w:pPr>
        <w:keepNext/>
        <w:keepLines/>
        <w:spacing w:before="60"/>
        <w:jc w:val="both"/>
        <w:rPr>
          <w:rFonts w:ascii="Arial" w:hAnsi="Arial" w:cs="Arial"/>
          <w:iCs/>
          <w:sz w:val="18"/>
          <w:szCs w:val="18"/>
        </w:rPr>
      </w:pPr>
      <w:r w:rsidRPr="00361C95">
        <w:rPr>
          <w:rFonts w:ascii="Arial Narrow" w:hAnsi="Arial Narrow" w:cs="Calibri"/>
          <w:color w:val="000000"/>
          <w:sz w:val="16"/>
          <w:szCs w:val="16"/>
          <w:vertAlign w:val="superscript"/>
        </w:rPr>
        <w:t>(a)</w:t>
      </w:r>
      <w:r w:rsidRPr="00361C95">
        <w:rPr>
          <w:rFonts w:ascii="Arial Narrow" w:hAnsi="Arial Narrow" w:cs="Calibri"/>
          <w:color w:val="000000"/>
          <w:sz w:val="16"/>
          <w:szCs w:val="16"/>
        </w:rPr>
        <w:t xml:space="preserve"> Vedi nota 1 a pag. 2</w:t>
      </w:r>
    </w:p>
    <w:p w:rsidR="00261A91" w:rsidRDefault="00261A91" w:rsidP="00A445FC">
      <w:pPr>
        <w:keepNext/>
        <w:keepLines/>
        <w:spacing w:after="120"/>
        <w:jc w:val="both"/>
        <w:rPr>
          <w:rFonts w:ascii="Arial Narrow" w:hAnsi="Arial Narrow"/>
          <w:color w:val="595959" w:themeColor="text1" w:themeTint="A6"/>
          <w:sz w:val="20"/>
          <w:szCs w:val="20"/>
        </w:rPr>
      </w:pPr>
    </w:p>
    <w:p w:rsidR="00261A91" w:rsidRPr="008340B2" w:rsidRDefault="00261A91" w:rsidP="00A445FC">
      <w:pPr>
        <w:keepNext/>
        <w:keepLines/>
        <w:spacing w:after="120"/>
        <w:jc w:val="both"/>
        <w:rPr>
          <w:rFonts w:ascii="Arial Narrow" w:hAnsi="Arial Narrow"/>
          <w:color w:val="595959" w:themeColor="text1" w:themeTint="A6"/>
          <w:sz w:val="20"/>
          <w:szCs w:val="20"/>
        </w:rPr>
      </w:pPr>
    </w:p>
    <w:p w:rsidR="00344268" w:rsidRDefault="00344268" w:rsidP="00A445FC">
      <w:pPr>
        <w:keepNext/>
        <w:keepLines/>
        <w:spacing w:before="120"/>
        <w:jc w:val="both"/>
        <w:rPr>
          <w:rFonts w:ascii="Arial" w:hAnsi="Arial" w:cs="Arial"/>
          <w:iCs/>
          <w:sz w:val="20"/>
          <w:szCs w:val="20"/>
        </w:rPr>
      </w:pPr>
      <w:r>
        <w:rPr>
          <w:rFonts w:ascii="Arial" w:hAnsi="Arial" w:cs="Arial"/>
          <w:iCs/>
          <w:sz w:val="20"/>
          <w:szCs w:val="20"/>
        </w:rPr>
        <w:br w:type="page"/>
      </w:r>
    </w:p>
    <w:p w:rsidR="00344268" w:rsidRPr="00744640" w:rsidRDefault="00344268" w:rsidP="00344268">
      <w:pPr>
        <w:spacing w:before="60" w:after="120"/>
        <w:jc w:val="both"/>
        <w:rPr>
          <w:rFonts w:ascii="Trebuchet MS" w:hAnsi="Trebuchet MS" w:cs="Arial"/>
          <w:color w:val="5F5F5F"/>
          <w:sz w:val="28"/>
          <w:szCs w:val="28"/>
        </w:rPr>
      </w:pPr>
      <w:r w:rsidRPr="00744640">
        <w:rPr>
          <w:rFonts w:ascii="Trebuchet MS" w:hAnsi="Trebuchet MS" w:cs="Arial"/>
          <w:color w:val="5F5F5F"/>
          <w:sz w:val="28"/>
          <w:szCs w:val="28"/>
        </w:rPr>
        <w:lastRenderedPageBreak/>
        <w:t xml:space="preserve">Glossario </w:t>
      </w:r>
    </w:p>
    <w:p w:rsidR="00344268" w:rsidRDefault="00344268" w:rsidP="00344268">
      <w:pPr>
        <w:spacing w:before="60" w:after="120"/>
        <w:jc w:val="both"/>
        <w:rPr>
          <w:rFonts w:ascii="Trebuchet MS" w:hAnsi="Trebuchet MS" w:cs="Arial"/>
          <w:b/>
          <w:bCs/>
          <w:color w:val="5F5F5F"/>
          <w:sz w:val="20"/>
          <w:szCs w:val="20"/>
        </w:rPr>
      </w:pPr>
    </w:p>
    <w:p w:rsidR="00344268" w:rsidRPr="003A000A" w:rsidRDefault="00344268" w:rsidP="00344268">
      <w:pPr>
        <w:spacing w:before="60" w:after="120"/>
        <w:jc w:val="both"/>
        <w:rPr>
          <w:rFonts w:ascii="Trebuchet MS" w:hAnsi="Trebuchet MS" w:cs="Arial"/>
          <w:bCs/>
          <w:color w:val="5F5F5F"/>
          <w:sz w:val="20"/>
          <w:szCs w:val="20"/>
        </w:rPr>
      </w:pPr>
      <w:r w:rsidRPr="001444EE">
        <w:rPr>
          <w:rFonts w:ascii="Trebuchet MS" w:hAnsi="Trebuchet MS" w:cs="Arial"/>
          <w:b/>
          <w:bCs/>
          <w:color w:val="5F5F5F"/>
          <w:sz w:val="20"/>
          <w:szCs w:val="20"/>
        </w:rPr>
        <w:t>Alfabeti privi di titolo di studio</w:t>
      </w:r>
      <w:r w:rsidRPr="001444EE">
        <w:rPr>
          <w:rFonts w:ascii="Trebuchet MS" w:hAnsi="Trebuchet MS" w:cs="Arial"/>
          <w:bCs/>
          <w:color w:val="5F5F5F"/>
          <w:sz w:val="20"/>
          <w:szCs w:val="20"/>
        </w:rPr>
        <w:t>: coloro che hanno dichiarato di sapere leggere e scrivere, pur non avendo conseguito la licenza di scuola elementare.</w:t>
      </w:r>
    </w:p>
    <w:p w:rsidR="00344268" w:rsidRPr="003A000A" w:rsidRDefault="00344268" w:rsidP="00344268">
      <w:pPr>
        <w:spacing w:before="60" w:after="120"/>
        <w:jc w:val="both"/>
        <w:rPr>
          <w:rFonts w:ascii="Trebuchet MS" w:hAnsi="Trebuchet MS" w:cs="Arial"/>
          <w:bCs/>
          <w:color w:val="5F5F5F"/>
          <w:sz w:val="20"/>
          <w:szCs w:val="20"/>
        </w:rPr>
      </w:pPr>
      <w:r w:rsidRPr="001444EE">
        <w:rPr>
          <w:rFonts w:ascii="Trebuchet MS" w:hAnsi="Trebuchet MS" w:cs="Arial"/>
          <w:b/>
          <w:bCs/>
          <w:color w:val="5F5F5F"/>
          <w:sz w:val="20"/>
          <w:szCs w:val="20"/>
        </w:rPr>
        <w:t xml:space="preserve">Analfabeti: </w:t>
      </w:r>
      <w:r w:rsidRPr="001444EE">
        <w:rPr>
          <w:rFonts w:ascii="Trebuchet MS" w:hAnsi="Trebuchet MS" w:cs="Arial"/>
          <w:bCs/>
          <w:color w:val="5F5F5F"/>
          <w:sz w:val="20"/>
          <w:szCs w:val="20"/>
        </w:rPr>
        <w:t>coloro che hanno dichiarato di non sapere leggere o scrivere.</w:t>
      </w:r>
    </w:p>
    <w:p w:rsidR="00344268" w:rsidRPr="001444EE" w:rsidRDefault="00344268" w:rsidP="00344268">
      <w:pPr>
        <w:jc w:val="both"/>
        <w:rPr>
          <w:rFonts w:ascii="Trebuchet MS" w:hAnsi="Trebuchet MS" w:cs="Arial"/>
          <w:bCs/>
          <w:color w:val="5F5F5F"/>
          <w:sz w:val="20"/>
          <w:szCs w:val="20"/>
        </w:rPr>
      </w:pPr>
      <w:r w:rsidRPr="001444EE">
        <w:rPr>
          <w:rFonts w:ascii="Trebuchet MS" w:hAnsi="Trebuchet MS" w:cs="Arial"/>
          <w:b/>
          <w:bCs/>
          <w:color w:val="5F5F5F"/>
          <w:sz w:val="20"/>
          <w:szCs w:val="20"/>
        </w:rPr>
        <w:t>Cittadinanza</w:t>
      </w:r>
      <w:r>
        <w:rPr>
          <w:rFonts w:ascii="Trebuchet MS" w:hAnsi="Trebuchet MS" w:cs="Arial"/>
          <w:b/>
          <w:bCs/>
          <w:color w:val="5F5F5F"/>
          <w:sz w:val="20"/>
          <w:szCs w:val="20"/>
        </w:rPr>
        <w:t xml:space="preserve">: </w:t>
      </w:r>
      <w:r w:rsidRPr="001444EE">
        <w:rPr>
          <w:rFonts w:ascii="Trebuchet MS" w:hAnsi="Trebuchet MS" w:cs="Arial"/>
          <w:bCs/>
          <w:color w:val="5F5F5F"/>
          <w:sz w:val="20"/>
          <w:szCs w:val="20"/>
        </w:rPr>
        <w:t>vincolo giuridico tra un individuo e lo Stato di appartenenza che garantisce il godimento di diritti e l’assoggettamento a particolari oneri. Viene acquisito per nascita o per naturalizzazione, mediante dichiarazione, opzione, matrimonio o altre modalità previste dalla legislazione nazionale. Ad una persona con cittadinanza doppia o multipla, nella rilevazione censuaria va assegnato un unico paese di cittadinanza, da determinare con il seguente ordine di precedenza:</w:t>
      </w:r>
    </w:p>
    <w:p w:rsidR="00344268" w:rsidRPr="001444EE" w:rsidRDefault="00344268" w:rsidP="00344268">
      <w:pPr>
        <w:pStyle w:val="Paragrafoelenco"/>
        <w:numPr>
          <w:ilvl w:val="0"/>
          <w:numId w:val="33"/>
        </w:numPr>
        <w:spacing w:after="0" w:line="240" w:lineRule="auto"/>
        <w:jc w:val="both"/>
        <w:rPr>
          <w:rFonts w:ascii="Trebuchet MS" w:hAnsi="Trebuchet MS" w:cs="Arial"/>
          <w:bCs/>
          <w:color w:val="5F5F5F"/>
          <w:sz w:val="20"/>
          <w:szCs w:val="20"/>
        </w:rPr>
      </w:pPr>
      <w:r w:rsidRPr="001444EE">
        <w:rPr>
          <w:rFonts w:ascii="Trebuchet MS" w:hAnsi="Trebuchet MS" w:cs="Arial"/>
          <w:bCs/>
          <w:color w:val="5F5F5F"/>
          <w:sz w:val="20"/>
          <w:szCs w:val="20"/>
        </w:rPr>
        <w:t>paese dichiarante; o</w:t>
      </w:r>
    </w:p>
    <w:p w:rsidR="00344268" w:rsidRPr="001444EE" w:rsidRDefault="00344268" w:rsidP="00344268">
      <w:pPr>
        <w:pStyle w:val="Paragrafoelenco"/>
        <w:numPr>
          <w:ilvl w:val="0"/>
          <w:numId w:val="33"/>
        </w:numPr>
        <w:spacing w:after="0" w:line="240" w:lineRule="auto"/>
        <w:jc w:val="both"/>
        <w:rPr>
          <w:rFonts w:ascii="Trebuchet MS" w:hAnsi="Trebuchet MS" w:cs="Arial"/>
          <w:bCs/>
          <w:color w:val="5F5F5F"/>
          <w:sz w:val="20"/>
          <w:szCs w:val="20"/>
        </w:rPr>
      </w:pPr>
      <w:r w:rsidRPr="001444EE">
        <w:rPr>
          <w:rFonts w:ascii="Trebuchet MS" w:hAnsi="Trebuchet MS" w:cs="Arial"/>
          <w:bCs/>
          <w:color w:val="5F5F5F"/>
          <w:sz w:val="20"/>
          <w:szCs w:val="20"/>
        </w:rPr>
        <w:t>se la persona non ha la cittadinanza del paese dichiarante: altro Stato membro dell'Ue; o</w:t>
      </w:r>
    </w:p>
    <w:p w:rsidR="00344268" w:rsidRPr="001444EE" w:rsidRDefault="00344268" w:rsidP="00344268">
      <w:pPr>
        <w:pStyle w:val="Paragrafoelenco"/>
        <w:numPr>
          <w:ilvl w:val="0"/>
          <w:numId w:val="33"/>
        </w:numPr>
        <w:spacing w:after="0" w:line="240" w:lineRule="auto"/>
        <w:jc w:val="both"/>
        <w:rPr>
          <w:rFonts w:ascii="Trebuchet MS" w:hAnsi="Trebuchet MS" w:cs="Arial"/>
          <w:bCs/>
          <w:color w:val="5F5F5F"/>
          <w:sz w:val="20"/>
          <w:szCs w:val="20"/>
        </w:rPr>
      </w:pPr>
      <w:r w:rsidRPr="001444EE">
        <w:rPr>
          <w:rFonts w:ascii="Trebuchet MS" w:hAnsi="Trebuchet MS" w:cs="Arial"/>
          <w:bCs/>
          <w:color w:val="5F5F5F"/>
          <w:sz w:val="20"/>
          <w:szCs w:val="20"/>
        </w:rPr>
        <w:t>se la persona non ha la cittadinanza di un altro Stato membro dell'Ue: altro paese non membro dell'Unione europea.</w:t>
      </w:r>
    </w:p>
    <w:p w:rsidR="00344268" w:rsidRPr="009C1F7F" w:rsidRDefault="00344268" w:rsidP="00344268">
      <w:pPr>
        <w:spacing w:before="60" w:after="120"/>
        <w:jc w:val="both"/>
        <w:rPr>
          <w:rFonts w:ascii="Trebuchet MS" w:hAnsi="Trebuchet MS" w:cs="Arial"/>
          <w:bCs/>
          <w:color w:val="5F5F5F"/>
          <w:sz w:val="20"/>
          <w:szCs w:val="20"/>
        </w:rPr>
      </w:pPr>
      <w:r w:rsidRPr="001444EE">
        <w:rPr>
          <w:rFonts w:ascii="Trebuchet MS" w:hAnsi="Trebuchet MS" w:cs="Arial"/>
          <w:bCs/>
          <w:color w:val="5F5F5F"/>
          <w:sz w:val="20"/>
          <w:szCs w:val="20"/>
        </w:rPr>
        <w:t>Per "Stato membro dell'Ue" si intende un paese che è membro dell'Unione europea al tempo di riferimento dell’indagine. Nei casi di doppia cittadinanza, in cui entrambi i paesi sono Stati membri dell'Unione europea ma nessuno è il paese dichiarante, gli Stati membri determinano il paese di cittadinanza da assegnare.</w:t>
      </w:r>
    </w:p>
    <w:p w:rsidR="00344268" w:rsidRPr="003A000A" w:rsidRDefault="00344268" w:rsidP="00344268">
      <w:pPr>
        <w:spacing w:before="60" w:after="120"/>
        <w:jc w:val="both"/>
        <w:rPr>
          <w:rFonts w:ascii="Trebuchet MS" w:hAnsi="Trebuchet MS" w:cs="Arial"/>
          <w:bCs/>
          <w:color w:val="5F5F5F"/>
          <w:sz w:val="20"/>
          <w:szCs w:val="20"/>
        </w:rPr>
      </w:pPr>
      <w:r w:rsidRPr="001444EE">
        <w:rPr>
          <w:rFonts w:ascii="Trebuchet MS" w:hAnsi="Trebuchet MS" w:cs="Arial"/>
          <w:b/>
          <w:bCs/>
          <w:color w:val="5F5F5F"/>
          <w:sz w:val="20"/>
          <w:szCs w:val="20"/>
        </w:rPr>
        <w:t>Diploma di istruzione secondaria di I grado (licenza media o avviamento professionale)</w:t>
      </w:r>
      <w:r>
        <w:rPr>
          <w:rFonts w:ascii="Trebuchet MS" w:hAnsi="Trebuchet MS" w:cs="Arial"/>
          <w:b/>
          <w:bCs/>
          <w:color w:val="5F5F5F"/>
          <w:sz w:val="20"/>
          <w:szCs w:val="20"/>
        </w:rPr>
        <w:t xml:space="preserve">: </w:t>
      </w:r>
      <w:r w:rsidRPr="001444EE">
        <w:rPr>
          <w:rFonts w:ascii="Trebuchet MS" w:hAnsi="Trebuchet MS" w:cs="Arial"/>
          <w:bCs/>
          <w:color w:val="5F5F5F"/>
          <w:sz w:val="20"/>
          <w:szCs w:val="20"/>
        </w:rPr>
        <w:t>titolo di studio conseguito al completamento dei corsi di scuola secondaria di I grado e dopo il superamento dell’esame di stato conclusivo del primo ciclo d’istruzione.</w:t>
      </w:r>
    </w:p>
    <w:p w:rsidR="00344268" w:rsidRPr="001444EE" w:rsidRDefault="00344268" w:rsidP="00344268">
      <w:pPr>
        <w:spacing w:before="60" w:after="120"/>
        <w:jc w:val="both"/>
        <w:rPr>
          <w:rFonts w:ascii="Trebuchet MS" w:hAnsi="Trebuchet MS" w:cs="Arial"/>
          <w:bCs/>
          <w:color w:val="5F5F5F"/>
          <w:sz w:val="20"/>
          <w:szCs w:val="20"/>
        </w:rPr>
      </w:pPr>
      <w:r w:rsidRPr="001444EE">
        <w:rPr>
          <w:rFonts w:ascii="Trebuchet MS" w:hAnsi="Trebuchet MS" w:cs="Arial"/>
          <w:b/>
          <w:bCs/>
          <w:color w:val="5F5F5F"/>
          <w:sz w:val="20"/>
          <w:szCs w:val="20"/>
        </w:rPr>
        <w:t>Diploma di istruzione secondaria di II grado</w:t>
      </w:r>
      <w:r>
        <w:rPr>
          <w:rFonts w:ascii="Trebuchet MS" w:hAnsi="Trebuchet MS" w:cs="Arial"/>
          <w:b/>
          <w:bCs/>
          <w:color w:val="5F5F5F"/>
          <w:sz w:val="20"/>
          <w:szCs w:val="20"/>
        </w:rPr>
        <w:t>: comprende i diplomi</w:t>
      </w:r>
      <w:r w:rsidRPr="001444EE">
        <w:rPr>
          <w:rFonts w:ascii="Trebuchet MS" w:hAnsi="Trebuchet MS" w:cs="Arial"/>
          <w:b/>
          <w:bCs/>
          <w:color w:val="5F5F5F"/>
          <w:sz w:val="20"/>
          <w:szCs w:val="20"/>
        </w:rPr>
        <w:t xml:space="preserve"> di 4-5 anni (ex diploma di maturità)</w:t>
      </w:r>
      <w:r>
        <w:rPr>
          <w:rFonts w:ascii="Trebuchet MS" w:hAnsi="Trebuchet MS" w:cs="Arial"/>
          <w:b/>
          <w:bCs/>
          <w:color w:val="5F5F5F"/>
          <w:sz w:val="20"/>
          <w:szCs w:val="20"/>
        </w:rPr>
        <w:t xml:space="preserve"> e i diplomi di qualifica professionale di 2-3 anni. </w:t>
      </w:r>
      <w:r w:rsidRPr="009C1F7F">
        <w:rPr>
          <w:rFonts w:ascii="Trebuchet MS" w:hAnsi="Trebuchet MS" w:cs="Arial"/>
          <w:bCs/>
          <w:color w:val="5F5F5F"/>
          <w:sz w:val="20"/>
          <w:szCs w:val="20"/>
        </w:rPr>
        <w:t>I diplomi di 4-5 anni comprendonoi</w:t>
      </w:r>
      <w:r w:rsidRPr="00EC3B1B">
        <w:rPr>
          <w:rFonts w:ascii="Trebuchet MS" w:hAnsi="Trebuchet MS" w:cs="Arial"/>
          <w:bCs/>
          <w:color w:val="5F5F5F"/>
          <w:sz w:val="20"/>
          <w:szCs w:val="20"/>
        </w:rPr>
        <w:t>titol</w:t>
      </w:r>
      <w:r>
        <w:rPr>
          <w:rFonts w:ascii="Trebuchet MS" w:hAnsi="Trebuchet MS" w:cs="Arial"/>
          <w:bCs/>
          <w:color w:val="5F5F5F"/>
          <w:sz w:val="20"/>
          <w:szCs w:val="20"/>
        </w:rPr>
        <w:t>i</w:t>
      </w:r>
      <w:r w:rsidRPr="001444EE">
        <w:rPr>
          <w:rFonts w:ascii="Trebuchet MS" w:hAnsi="Trebuchet MS" w:cs="Arial"/>
          <w:bCs/>
          <w:color w:val="5F5F5F"/>
          <w:sz w:val="20"/>
          <w:szCs w:val="20"/>
        </w:rPr>
        <w:t xml:space="preserve"> di studio conseguit</w:t>
      </w:r>
      <w:r>
        <w:rPr>
          <w:rFonts w:ascii="Trebuchet MS" w:hAnsi="Trebuchet MS" w:cs="Arial"/>
          <w:bCs/>
          <w:color w:val="5F5F5F"/>
          <w:sz w:val="20"/>
          <w:szCs w:val="20"/>
        </w:rPr>
        <w:t>i</w:t>
      </w:r>
      <w:r w:rsidRPr="001444EE">
        <w:rPr>
          <w:rFonts w:ascii="Trebuchet MS" w:hAnsi="Trebuchet MS" w:cs="Arial"/>
          <w:bCs/>
          <w:color w:val="5F5F5F"/>
          <w:sz w:val="20"/>
          <w:szCs w:val="20"/>
        </w:rPr>
        <w:t xml:space="preserve"> al termine di un percorso di studi secondari di II grado, attualmente della durata di 5 anni e dopo il superamento dell’esame di stato conclusivo del secondo ciclo di istruzione. Il titolo permette l’iscrizione ad un corso di studi universitari. Per accedere ai corsi è richiesto il diploma di scuola secondaria di I grado.</w:t>
      </w:r>
      <w:r>
        <w:rPr>
          <w:rFonts w:ascii="Trebuchet MS" w:hAnsi="Trebuchet MS" w:cs="Arial"/>
          <w:bCs/>
          <w:color w:val="5F5F5F"/>
          <w:sz w:val="20"/>
          <w:szCs w:val="20"/>
        </w:rPr>
        <w:t xml:space="preserve"> I diplomi di qualifica professionale di 2-3 anni comprendono i t</w:t>
      </w:r>
      <w:r w:rsidRPr="001444EE">
        <w:rPr>
          <w:rFonts w:ascii="Trebuchet MS" w:hAnsi="Trebuchet MS" w:cs="Arial"/>
          <w:bCs/>
          <w:color w:val="5F5F5F"/>
          <w:sz w:val="20"/>
          <w:szCs w:val="20"/>
        </w:rPr>
        <w:t>itol</w:t>
      </w:r>
      <w:r>
        <w:rPr>
          <w:rFonts w:ascii="Trebuchet MS" w:hAnsi="Trebuchet MS" w:cs="Arial"/>
          <w:bCs/>
          <w:color w:val="5F5F5F"/>
          <w:sz w:val="20"/>
          <w:szCs w:val="20"/>
        </w:rPr>
        <w:t>i</w:t>
      </w:r>
      <w:r w:rsidRPr="001444EE">
        <w:rPr>
          <w:rFonts w:ascii="Trebuchet MS" w:hAnsi="Trebuchet MS" w:cs="Arial"/>
          <w:bCs/>
          <w:color w:val="5F5F5F"/>
          <w:sz w:val="20"/>
          <w:szCs w:val="20"/>
        </w:rPr>
        <w:t xml:space="preserve"> di studio conseguit</w:t>
      </w:r>
      <w:r>
        <w:rPr>
          <w:rFonts w:ascii="Trebuchet MS" w:hAnsi="Trebuchet MS" w:cs="Arial"/>
          <w:bCs/>
          <w:color w:val="5F5F5F"/>
          <w:sz w:val="20"/>
          <w:szCs w:val="20"/>
        </w:rPr>
        <w:t>i</w:t>
      </w:r>
      <w:r w:rsidRPr="001444EE">
        <w:rPr>
          <w:rFonts w:ascii="Trebuchet MS" w:hAnsi="Trebuchet MS" w:cs="Arial"/>
          <w:bCs/>
          <w:color w:val="5F5F5F"/>
          <w:sz w:val="20"/>
          <w:szCs w:val="20"/>
        </w:rPr>
        <w:t xml:space="preserve"> al termine di un percorso di studi secondario di II grado di durata non superiore a 3 anni (istituti professionali, istituti d’arte, scuola magistrale), che non permette l’iscrizione ad un corso di studi universitario.</w:t>
      </w:r>
    </w:p>
    <w:p w:rsidR="00344268" w:rsidRPr="003A000A" w:rsidRDefault="00344268" w:rsidP="00344268">
      <w:pPr>
        <w:spacing w:before="60" w:after="120"/>
        <w:jc w:val="both"/>
        <w:rPr>
          <w:rFonts w:ascii="Trebuchet MS" w:hAnsi="Trebuchet MS" w:cs="Arial"/>
          <w:bCs/>
          <w:color w:val="5F5F5F"/>
          <w:sz w:val="20"/>
          <w:szCs w:val="20"/>
        </w:rPr>
      </w:pPr>
      <w:r w:rsidRPr="001444EE">
        <w:rPr>
          <w:rFonts w:ascii="Trebuchet MS" w:hAnsi="Trebuchet MS" w:cs="Arial"/>
          <w:b/>
          <w:bCs/>
          <w:color w:val="5F5F5F"/>
          <w:sz w:val="20"/>
          <w:szCs w:val="20"/>
        </w:rPr>
        <w:t>Dottorato di ricerca/diploma accademico di formazione alla ricerca</w:t>
      </w:r>
      <w:r>
        <w:rPr>
          <w:rFonts w:ascii="Trebuchet MS" w:hAnsi="Trebuchet MS" w:cs="Arial"/>
          <w:b/>
          <w:bCs/>
          <w:color w:val="5F5F5F"/>
          <w:sz w:val="20"/>
          <w:szCs w:val="20"/>
        </w:rPr>
        <w:t xml:space="preserve">: </w:t>
      </w:r>
      <w:r w:rsidRPr="001444EE">
        <w:rPr>
          <w:rFonts w:ascii="Trebuchet MS" w:hAnsi="Trebuchet MS" w:cs="Arial"/>
          <w:bCs/>
          <w:color w:val="5F5F5F"/>
          <w:sz w:val="20"/>
          <w:szCs w:val="20"/>
        </w:rPr>
        <w:t>titolo di studio che si consegue dopo un corso di almeno 3 anni. Per accedere a tali corsi è necessario possedere una laurea magistrale/specialistica. Il diploma accademico di formazione alla ricerca si consegue dopo un corso di tre anni. Per accedere a tali corsi è necessario possedere il diploma accademico di II livello.</w:t>
      </w:r>
    </w:p>
    <w:p w:rsidR="00344268" w:rsidRDefault="00344268" w:rsidP="00344268">
      <w:pPr>
        <w:spacing w:before="60" w:after="120"/>
        <w:jc w:val="both"/>
        <w:rPr>
          <w:rFonts w:ascii="Trebuchet MS" w:hAnsi="Trebuchet MS" w:cs="Arial"/>
          <w:bCs/>
          <w:color w:val="5F5F5F"/>
          <w:sz w:val="20"/>
          <w:szCs w:val="20"/>
        </w:rPr>
      </w:pPr>
      <w:r>
        <w:rPr>
          <w:rFonts w:ascii="Trebuchet MS" w:hAnsi="Trebuchet MS" w:cs="Arial"/>
          <w:b/>
          <w:bCs/>
          <w:color w:val="5F5F5F"/>
          <w:sz w:val="20"/>
          <w:szCs w:val="20"/>
        </w:rPr>
        <w:t xml:space="preserve">Età media della popolazione: </w:t>
      </w:r>
      <w:r w:rsidRPr="001444EE">
        <w:rPr>
          <w:rFonts w:ascii="Trebuchet MS" w:hAnsi="Trebuchet MS" w:cs="Arial"/>
          <w:bCs/>
          <w:color w:val="5F5F5F"/>
          <w:sz w:val="20"/>
          <w:szCs w:val="20"/>
        </w:rPr>
        <w:t>l'età media della popolazione residente a una certa data, espressa in anni e decimi di anno. È ottenuta come media ponderata con pesi pari all'ammon</w:t>
      </w:r>
      <w:r>
        <w:rPr>
          <w:rFonts w:ascii="Trebuchet MS" w:hAnsi="Trebuchet MS" w:cs="Arial"/>
          <w:bCs/>
          <w:color w:val="5F5F5F"/>
          <w:sz w:val="20"/>
          <w:szCs w:val="20"/>
        </w:rPr>
        <w:t>ta</w:t>
      </w:r>
      <w:r w:rsidRPr="001444EE">
        <w:rPr>
          <w:rFonts w:ascii="Trebuchet MS" w:hAnsi="Trebuchet MS" w:cs="Arial"/>
          <w:bCs/>
          <w:color w:val="5F5F5F"/>
          <w:sz w:val="20"/>
          <w:szCs w:val="20"/>
        </w:rPr>
        <w:t>re della popolazione in ciascuna classe di età.</w:t>
      </w:r>
    </w:p>
    <w:p w:rsidR="00344268" w:rsidRPr="001444EE" w:rsidRDefault="00344268" w:rsidP="00344268">
      <w:pPr>
        <w:spacing w:before="60" w:after="120"/>
        <w:jc w:val="both"/>
        <w:rPr>
          <w:rFonts w:ascii="Trebuchet MS" w:hAnsi="Trebuchet MS" w:cs="Arial"/>
          <w:bCs/>
          <w:color w:val="5F5F5F"/>
          <w:sz w:val="20"/>
          <w:szCs w:val="20"/>
        </w:rPr>
      </w:pPr>
      <w:r w:rsidRPr="001444EE">
        <w:rPr>
          <w:rFonts w:ascii="Trebuchet MS" w:hAnsi="Trebuchet MS" w:cs="Arial"/>
          <w:b/>
          <w:bCs/>
          <w:color w:val="5F5F5F"/>
          <w:sz w:val="20"/>
          <w:szCs w:val="20"/>
        </w:rPr>
        <w:t>Forze di lavoro</w:t>
      </w:r>
      <w:r>
        <w:rPr>
          <w:rFonts w:ascii="Trebuchet MS" w:hAnsi="Trebuchet MS" w:cs="Arial"/>
          <w:b/>
          <w:bCs/>
          <w:color w:val="5F5F5F"/>
          <w:sz w:val="20"/>
          <w:szCs w:val="20"/>
        </w:rPr>
        <w:t xml:space="preserve">: </w:t>
      </w:r>
      <w:r w:rsidRPr="001444EE">
        <w:rPr>
          <w:rFonts w:ascii="Trebuchet MS" w:hAnsi="Trebuchet MS" w:cs="Arial"/>
          <w:bCs/>
          <w:color w:val="5F5F5F"/>
          <w:sz w:val="20"/>
          <w:szCs w:val="20"/>
        </w:rPr>
        <w:t>persone di 15 anni e più, occupate e disoccupate.</w:t>
      </w:r>
    </w:p>
    <w:p w:rsidR="00344268" w:rsidRPr="003A000A" w:rsidRDefault="00344268" w:rsidP="00344268">
      <w:pPr>
        <w:spacing w:before="60" w:after="120"/>
        <w:jc w:val="both"/>
        <w:rPr>
          <w:rFonts w:ascii="Trebuchet MS" w:hAnsi="Trebuchet MS" w:cs="Arial"/>
          <w:bCs/>
          <w:color w:val="5F5F5F"/>
          <w:sz w:val="20"/>
          <w:szCs w:val="20"/>
        </w:rPr>
      </w:pPr>
      <w:r w:rsidRPr="001444EE">
        <w:rPr>
          <w:rFonts w:ascii="Trebuchet MS" w:hAnsi="Trebuchet MS" w:cs="Arial"/>
          <w:b/>
          <w:bCs/>
          <w:color w:val="5F5F5F"/>
          <w:sz w:val="20"/>
          <w:szCs w:val="20"/>
        </w:rPr>
        <w:t xml:space="preserve">Inattivi: </w:t>
      </w:r>
      <w:r w:rsidRPr="003A000A">
        <w:rPr>
          <w:rFonts w:ascii="Trebuchet MS" w:hAnsi="Trebuchet MS" w:cs="Arial"/>
          <w:bCs/>
          <w:color w:val="5F5F5F"/>
          <w:sz w:val="20"/>
          <w:szCs w:val="20"/>
        </w:rPr>
        <w:t>persone di 15 anni e più che non fanno parte delle forze di lavoro, cioè quelle non classificate come occupate o in cerca di occupazione (disoccupate). Rientrano nella categoria:</w:t>
      </w:r>
    </w:p>
    <w:p w:rsidR="00344268" w:rsidRDefault="00344268" w:rsidP="00344268">
      <w:pPr>
        <w:pStyle w:val="Paragrafoelenco"/>
        <w:numPr>
          <w:ilvl w:val="0"/>
          <w:numId w:val="33"/>
        </w:numPr>
        <w:spacing w:before="60" w:after="120" w:line="240" w:lineRule="auto"/>
        <w:jc w:val="both"/>
        <w:rPr>
          <w:rFonts w:ascii="Trebuchet MS" w:hAnsi="Trebuchet MS" w:cs="Arial"/>
          <w:bCs/>
          <w:color w:val="5F5F5F"/>
          <w:sz w:val="20"/>
          <w:szCs w:val="20"/>
        </w:rPr>
      </w:pPr>
      <w:r w:rsidRPr="003A000A">
        <w:rPr>
          <w:rFonts w:ascii="Trebuchet MS" w:hAnsi="Trebuchet MS" w:cs="Arial"/>
          <w:bCs/>
          <w:color w:val="5F5F5F"/>
          <w:sz w:val="20"/>
          <w:szCs w:val="20"/>
        </w:rPr>
        <w:t>coloro che non hanno cercato lavoro nelle ultime quattro settimane e non sono disponibili a lavorare entro due settimane dall'intervista;</w:t>
      </w:r>
    </w:p>
    <w:p w:rsidR="00344268" w:rsidRDefault="00344268" w:rsidP="00344268">
      <w:pPr>
        <w:pStyle w:val="Paragrafoelenco"/>
        <w:numPr>
          <w:ilvl w:val="0"/>
          <w:numId w:val="33"/>
        </w:numPr>
        <w:spacing w:before="60" w:after="120" w:line="240" w:lineRule="auto"/>
        <w:jc w:val="both"/>
        <w:rPr>
          <w:rFonts w:ascii="Trebuchet MS" w:hAnsi="Trebuchet MS" w:cs="Arial"/>
          <w:bCs/>
          <w:color w:val="5F5F5F"/>
          <w:sz w:val="20"/>
          <w:szCs w:val="20"/>
        </w:rPr>
      </w:pPr>
      <w:r w:rsidRPr="003A000A">
        <w:rPr>
          <w:rFonts w:ascii="Trebuchet MS" w:hAnsi="Trebuchet MS" w:cs="Arial"/>
          <w:bCs/>
          <w:color w:val="5F5F5F"/>
          <w:sz w:val="20"/>
          <w:szCs w:val="20"/>
        </w:rPr>
        <w:t>coloro che pur non avendo cercato un lavoro nelle ultime quattro settimane si sono dichiarati disponibili a iniziare un lavoro entro due settimane dall’intervista;</w:t>
      </w:r>
    </w:p>
    <w:p w:rsidR="00344268" w:rsidRPr="003A000A" w:rsidRDefault="00344268" w:rsidP="00344268">
      <w:pPr>
        <w:pStyle w:val="Paragrafoelenco"/>
        <w:numPr>
          <w:ilvl w:val="0"/>
          <w:numId w:val="33"/>
        </w:numPr>
        <w:spacing w:before="60" w:after="120" w:line="240" w:lineRule="auto"/>
        <w:jc w:val="both"/>
        <w:rPr>
          <w:rFonts w:ascii="Trebuchet MS" w:hAnsi="Trebuchet MS" w:cs="Arial"/>
          <w:bCs/>
          <w:color w:val="5F5F5F"/>
          <w:sz w:val="20"/>
          <w:szCs w:val="20"/>
        </w:rPr>
      </w:pPr>
      <w:r w:rsidRPr="003A000A">
        <w:rPr>
          <w:rFonts w:ascii="Trebuchet MS" w:hAnsi="Trebuchet MS" w:cs="Arial"/>
          <w:bCs/>
          <w:color w:val="5F5F5F"/>
          <w:sz w:val="20"/>
          <w:szCs w:val="20"/>
        </w:rPr>
        <w:t>coloro che hanno cercato un lavoro nelle ultime quattro settimane, ma che non sono disponibili a iniziare un lavoro entro due settimane dall’intervista (forze lavoro potenziali).</w:t>
      </w:r>
    </w:p>
    <w:p w:rsidR="00344268" w:rsidRPr="001444EE" w:rsidRDefault="00344268" w:rsidP="00344268">
      <w:pPr>
        <w:spacing w:before="60" w:after="120"/>
        <w:jc w:val="both"/>
        <w:rPr>
          <w:rFonts w:ascii="Trebuchet MS" w:hAnsi="Trebuchet MS" w:cs="Arial"/>
          <w:bCs/>
          <w:color w:val="5F5F5F"/>
          <w:sz w:val="20"/>
          <w:szCs w:val="20"/>
        </w:rPr>
      </w:pPr>
      <w:r w:rsidRPr="001444EE">
        <w:rPr>
          <w:rFonts w:ascii="Trebuchet MS" w:hAnsi="Trebuchet MS" w:cs="Arial"/>
          <w:b/>
          <w:bCs/>
          <w:color w:val="5F5F5F"/>
          <w:sz w:val="20"/>
          <w:szCs w:val="20"/>
        </w:rPr>
        <w:t xml:space="preserve">Indice di dipendenza strutturale: </w:t>
      </w:r>
      <w:r>
        <w:rPr>
          <w:rFonts w:ascii="Trebuchet MS" w:hAnsi="Trebuchet MS" w:cs="Arial"/>
          <w:bCs/>
          <w:color w:val="5F5F5F"/>
          <w:sz w:val="20"/>
          <w:szCs w:val="20"/>
        </w:rPr>
        <w:t>r</w:t>
      </w:r>
      <w:r w:rsidRPr="001444EE">
        <w:rPr>
          <w:rFonts w:ascii="Trebuchet MS" w:hAnsi="Trebuchet MS" w:cs="Arial"/>
          <w:bCs/>
          <w:color w:val="5F5F5F"/>
          <w:sz w:val="20"/>
          <w:szCs w:val="20"/>
        </w:rPr>
        <w:t>apporto tra la popolazione in età non attiva (0-14 anni e 65 anni e oltre) e la popolazione in età attiva (15-64 anni), moltiplicato per 100.</w:t>
      </w:r>
    </w:p>
    <w:p w:rsidR="00344268" w:rsidRPr="001444EE" w:rsidRDefault="00344268" w:rsidP="00344268">
      <w:pPr>
        <w:spacing w:before="60" w:after="120"/>
        <w:jc w:val="both"/>
        <w:rPr>
          <w:rFonts w:ascii="Trebuchet MS" w:hAnsi="Trebuchet MS" w:cs="Arial"/>
          <w:b/>
          <w:bCs/>
          <w:color w:val="5F5F5F"/>
          <w:sz w:val="20"/>
          <w:szCs w:val="20"/>
        </w:rPr>
      </w:pPr>
      <w:r w:rsidRPr="001444EE">
        <w:rPr>
          <w:rFonts w:ascii="Trebuchet MS" w:hAnsi="Trebuchet MS" w:cs="Arial"/>
          <w:b/>
          <w:bCs/>
          <w:color w:val="5F5F5F"/>
          <w:sz w:val="20"/>
          <w:szCs w:val="20"/>
        </w:rPr>
        <w:t xml:space="preserve">Indice di dipendenza strutturale degli anziani: </w:t>
      </w:r>
      <w:r w:rsidRPr="001444EE">
        <w:rPr>
          <w:rFonts w:ascii="Trebuchet MS" w:hAnsi="Trebuchet MS" w:cs="Arial"/>
          <w:bCs/>
          <w:color w:val="5F5F5F"/>
          <w:sz w:val="20"/>
          <w:szCs w:val="20"/>
        </w:rPr>
        <w:t>rapporto tra la popolazione di 65 anni e oltre e la popolazione in età attiva (15-64 anni), moltiplicato per 100.</w:t>
      </w:r>
    </w:p>
    <w:p w:rsidR="00344268" w:rsidRPr="003A000A" w:rsidRDefault="00344268" w:rsidP="00344268">
      <w:pPr>
        <w:spacing w:before="60" w:after="120"/>
        <w:jc w:val="both"/>
        <w:rPr>
          <w:rFonts w:ascii="Trebuchet MS" w:hAnsi="Trebuchet MS" w:cs="Arial"/>
          <w:bCs/>
          <w:color w:val="5F5F5F"/>
          <w:sz w:val="20"/>
          <w:szCs w:val="20"/>
        </w:rPr>
      </w:pPr>
      <w:r>
        <w:rPr>
          <w:rFonts w:ascii="Trebuchet MS" w:hAnsi="Trebuchet MS" w:cs="Arial"/>
          <w:b/>
          <w:bCs/>
          <w:color w:val="5F5F5F"/>
          <w:sz w:val="20"/>
          <w:szCs w:val="20"/>
        </w:rPr>
        <w:t>I</w:t>
      </w:r>
      <w:r w:rsidRPr="001444EE">
        <w:rPr>
          <w:rFonts w:ascii="Trebuchet MS" w:hAnsi="Trebuchet MS" w:cs="Arial"/>
          <w:b/>
          <w:bCs/>
          <w:color w:val="5F5F5F"/>
          <w:sz w:val="20"/>
          <w:szCs w:val="20"/>
        </w:rPr>
        <w:t>ndice di struttura della popolazione attiva</w:t>
      </w:r>
      <w:r>
        <w:rPr>
          <w:rFonts w:ascii="Trebuchet MS" w:hAnsi="Trebuchet MS" w:cs="Arial"/>
          <w:b/>
          <w:bCs/>
          <w:color w:val="5F5F5F"/>
          <w:sz w:val="20"/>
          <w:szCs w:val="20"/>
        </w:rPr>
        <w:t>:</w:t>
      </w:r>
      <w:r w:rsidRPr="001444EE">
        <w:rPr>
          <w:rFonts w:ascii="Trebuchet MS" w:hAnsi="Trebuchet MS" w:cs="Arial"/>
          <w:b/>
          <w:bCs/>
          <w:color w:val="5F5F5F"/>
          <w:sz w:val="20"/>
          <w:szCs w:val="20"/>
        </w:rPr>
        <w:t> </w:t>
      </w:r>
      <w:r w:rsidRPr="001444EE">
        <w:rPr>
          <w:rFonts w:ascii="Trebuchet MS" w:hAnsi="Trebuchet MS" w:cs="Arial"/>
          <w:bCs/>
          <w:color w:val="5F5F5F"/>
          <w:sz w:val="20"/>
          <w:szCs w:val="20"/>
        </w:rPr>
        <w:t>rapporto percentuale tra la popolazione in età 40-64 anni e la popolazione in età 15-39 ann</w:t>
      </w:r>
      <w:r>
        <w:rPr>
          <w:rFonts w:ascii="Trebuchet MS" w:hAnsi="Trebuchet MS" w:cs="Arial"/>
          <w:bCs/>
          <w:color w:val="5F5F5F"/>
          <w:sz w:val="20"/>
          <w:szCs w:val="20"/>
        </w:rPr>
        <w:t>i</w:t>
      </w:r>
    </w:p>
    <w:p w:rsidR="00344268" w:rsidRPr="001444EE" w:rsidRDefault="00344268" w:rsidP="00344268">
      <w:pPr>
        <w:spacing w:before="60" w:after="120"/>
        <w:jc w:val="both"/>
        <w:rPr>
          <w:rFonts w:ascii="Trebuchet MS" w:hAnsi="Trebuchet MS" w:cs="Arial"/>
          <w:bCs/>
          <w:color w:val="5F5F5F"/>
          <w:sz w:val="20"/>
          <w:szCs w:val="20"/>
        </w:rPr>
      </w:pPr>
      <w:r w:rsidRPr="001444EE">
        <w:rPr>
          <w:rFonts w:ascii="Trebuchet MS" w:hAnsi="Trebuchet MS" w:cs="Arial"/>
          <w:b/>
          <w:bCs/>
          <w:color w:val="5F5F5F"/>
          <w:sz w:val="20"/>
          <w:szCs w:val="20"/>
        </w:rPr>
        <w:lastRenderedPageBreak/>
        <w:t xml:space="preserve">Indice di vecchiaia: </w:t>
      </w:r>
      <w:r>
        <w:rPr>
          <w:rFonts w:ascii="Trebuchet MS" w:hAnsi="Trebuchet MS" w:cs="Arial"/>
          <w:bCs/>
          <w:color w:val="5F5F5F"/>
          <w:sz w:val="20"/>
          <w:szCs w:val="20"/>
        </w:rPr>
        <w:t>r</w:t>
      </w:r>
      <w:r w:rsidRPr="001444EE">
        <w:rPr>
          <w:rFonts w:ascii="Trebuchet MS" w:hAnsi="Trebuchet MS" w:cs="Arial"/>
          <w:bCs/>
          <w:color w:val="5F5F5F"/>
          <w:sz w:val="20"/>
          <w:szCs w:val="20"/>
        </w:rPr>
        <w:t>apporto tra la popolazione di 65 anni e oltre e la popolazione di età 0-14 anni, moltiplicato per 100.</w:t>
      </w:r>
    </w:p>
    <w:p w:rsidR="00344268" w:rsidRDefault="00344268" w:rsidP="00344268">
      <w:pPr>
        <w:spacing w:before="60" w:after="120"/>
        <w:jc w:val="both"/>
        <w:rPr>
          <w:rFonts w:ascii="Trebuchet MS" w:hAnsi="Trebuchet MS" w:cs="Arial"/>
          <w:b/>
          <w:bCs/>
          <w:color w:val="5F5F5F"/>
          <w:sz w:val="20"/>
          <w:szCs w:val="20"/>
        </w:rPr>
      </w:pPr>
      <w:r>
        <w:rPr>
          <w:rFonts w:ascii="Trebuchet MS" w:hAnsi="Trebuchet MS" w:cs="Arial"/>
          <w:b/>
          <w:bCs/>
          <w:color w:val="5F5F5F"/>
          <w:sz w:val="20"/>
          <w:szCs w:val="20"/>
        </w:rPr>
        <w:t xml:space="preserve">Istruzione terziaria: </w:t>
      </w:r>
      <w:r w:rsidRPr="009C1F7F">
        <w:rPr>
          <w:rFonts w:ascii="Trebuchet MS" w:hAnsi="Trebuchet MS" w:cs="Arial"/>
          <w:bCs/>
          <w:color w:val="5F5F5F"/>
          <w:sz w:val="20"/>
          <w:szCs w:val="20"/>
        </w:rPr>
        <w:t>comprende titoli di istruzione terziaria di I e II livello</w:t>
      </w:r>
    </w:p>
    <w:p w:rsidR="00344268" w:rsidRDefault="00344268" w:rsidP="00344268">
      <w:pPr>
        <w:spacing w:before="60" w:after="120"/>
        <w:jc w:val="both"/>
        <w:rPr>
          <w:rFonts w:ascii="Trebuchet MS" w:hAnsi="Trebuchet MS" w:cs="Arial"/>
          <w:bCs/>
          <w:color w:val="5F5F5F"/>
          <w:sz w:val="20"/>
          <w:szCs w:val="20"/>
        </w:rPr>
      </w:pPr>
      <w:r>
        <w:rPr>
          <w:rFonts w:ascii="Trebuchet MS" w:hAnsi="Trebuchet MS" w:cs="Arial"/>
          <w:b/>
          <w:bCs/>
          <w:color w:val="5F5F5F"/>
          <w:sz w:val="20"/>
          <w:szCs w:val="20"/>
        </w:rPr>
        <w:t>I</w:t>
      </w:r>
      <w:r w:rsidRPr="00FA77B3">
        <w:rPr>
          <w:rFonts w:ascii="Trebuchet MS" w:hAnsi="Trebuchet MS" w:cs="Arial"/>
          <w:b/>
          <w:bCs/>
          <w:color w:val="5F5F5F"/>
          <w:sz w:val="20"/>
          <w:szCs w:val="20"/>
        </w:rPr>
        <w:t>struzione terziaria di I livello</w:t>
      </w:r>
      <w:r>
        <w:rPr>
          <w:rFonts w:ascii="Trebuchet MS" w:hAnsi="Trebuchet MS" w:cs="Arial"/>
          <w:b/>
          <w:bCs/>
          <w:color w:val="5F5F5F"/>
          <w:sz w:val="20"/>
          <w:szCs w:val="20"/>
        </w:rPr>
        <w:t xml:space="preserve"> (titolo di)</w:t>
      </w:r>
      <w:r w:rsidRPr="00FA77B3">
        <w:rPr>
          <w:rFonts w:ascii="Trebuchet MS" w:hAnsi="Trebuchet MS" w:cs="Arial"/>
          <w:b/>
          <w:bCs/>
          <w:color w:val="5F5F5F"/>
          <w:sz w:val="20"/>
          <w:szCs w:val="20"/>
        </w:rPr>
        <w:t xml:space="preserve">: </w:t>
      </w:r>
      <w:r w:rsidRPr="009C1F7F">
        <w:rPr>
          <w:rFonts w:ascii="Trebuchet MS" w:hAnsi="Trebuchet MS" w:cs="Arial"/>
          <w:bCs/>
          <w:color w:val="5F5F5F"/>
          <w:sz w:val="20"/>
          <w:szCs w:val="20"/>
        </w:rPr>
        <w:t xml:space="preserve">rientrano in questa modalità </w:t>
      </w:r>
      <w:r w:rsidRPr="00FA77B3">
        <w:rPr>
          <w:rFonts w:ascii="Trebuchet MS" w:hAnsi="Trebuchet MS" w:cs="Arial"/>
          <w:bCs/>
          <w:color w:val="5F5F5F"/>
          <w:sz w:val="20"/>
          <w:szCs w:val="20"/>
        </w:rPr>
        <w:t>i seguenti titoli: diploma universitario, diploma rilasciato da una scuola diretta a fini speciali, altro diploma terziario non universitario del vecchio ordinamento, laurea di I livello e diploma accademico Afam di I livello.</w:t>
      </w:r>
    </w:p>
    <w:p w:rsidR="00344268" w:rsidRDefault="00344268" w:rsidP="00344268">
      <w:pPr>
        <w:spacing w:before="60" w:after="120"/>
        <w:jc w:val="both"/>
        <w:rPr>
          <w:rFonts w:ascii="Trebuchet MS" w:hAnsi="Trebuchet MS"/>
          <w:bCs/>
          <w:color w:val="5F5F5F"/>
          <w:sz w:val="20"/>
          <w:szCs w:val="20"/>
        </w:rPr>
      </w:pPr>
      <w:r>
        <w:rPr>
          <w:rFonts w:ascii="Trebuchet MS" w:hAnsi="Trebuchet MS" w:cs="Arial"/>
          <w:b/>
          <w:bCs/>
          <w:color w:val="5F5F5F"/>
          <w:sz w:val="20"/>
          <w:szCs w:val="20"/>
        </w:rPr>
        <w:t>Istruzione terziaria</w:t>
      </w:r>
      <w:r w:rsidRPr="00FA77B3">
        <w:rPr>
          <w:rFonts w:ascii="Trebuchet MS" w:hAnsi="Trebuchet MS" w:cs="Arial"/>
          <w:b/>
          <w:bCs/>
          <w:color w:val="5F5F5F"/>
          <w:sz w:val="20"/>
          <w:szCs w:val="20"/>
        </w:rPr>
        <w:t xml:space="preserve"> di </w:t>
      </w:r>
      <w:r>
        <w:rPr>
          <w:rFonts w:ascii="Trebuchet MS" w:hAnsi="Trebuchet MS" w:cs="Arial"/>
          <w:b/>
          <w:bCs/>
          <w:color w:val="5F5F5F"/>
          <w:sz w:val="20"/>
          <w:szCs w:val="20"/>
        </w:rPr>
        <w:t>II</w:t>
      </w:r>
      <w:r w:rsidRPr="00FA77B3">
        <w:rPr>
          <w:rFonts w:ascii="Trebuchet MS" w:hAnsi="Trebuchet MS" w:cs="Arial"/>
          <w:b/>
          <w:bCs/>
          <w:color w:val="5F5F5F"/>
          <w:sz w:val="20"/>
          <w:szCs w:val="20"/>
        </w:rPr>
        <w:t xml:space="preserve"> livello</w:t>
      </w:r>
      <w:r>
        <w:rPr>
          <w:rFonts w:ascii="Trebuchet MS" w:hAnsi="Trebuchet MS" w:cs="Arial"/>
          <w:b/>
          <w:bCs/>
          <w:color w:val="5F5F5F"/>
          <w:sz w:val="20"/>
          <w:szCs w:val="20"/>
        </w:rPr>
        <w:t xml:space="preserve"> (titolo di): </w:t>
      </w:r>
      <w:r w:rsidRPr="00FA77B3">
        <w:rPr>
          <w:rFonts w:ascii="Trebuchet MS" w:hAnsi="Trebuchet MS"/>
          <w:bCs/>
          <w:color w:val="5F5F5F"/>
          <w:sz w:val="20"/>
          <w:szCs w:val="20"/>
        </w:rPr>
        <w:t>rientrano in questa modalità i seguenti titoli di studio: la laurea magistrale/specialistica (biennale, a ciclo unico, diploma di laurea di 4-6 anni), il diploma di accademia di belle arti, danza, arte drammatica, Isia, ecc., conservatorio (vecchio ordinamento) precedente la riforma del settore Afam (legge 508/99) e il diploma accademico di alta formazione artistica, musicale e coreutica (Afam) di II livello.</w:t>
      </w:r>
    </w:p>
    <w:p w:rsidR="00344268" w:rsidRDefault="00344268" w:rsidP="00344268">
      <w:pPr>
        <w:spacing w:before="60" w:after="120"/>
        <w:jc w:val="both"/>
        <w:rPr>
          <w:rFonts w:ascii="Trebuchet MS" w:hAnsi="Trebuchet MS"/>
          <w:bCs/>
          <w:color w:val="5F5F5F"/>
          <w:sz w:val="20"/>
          <w:szCs w:val="20"/>
        </w:rPr>
      </w:pPr>
      <w:r>
        <w:rPr>
          <w:rFonts w:ascii="Trebuchet MS" w:hAnsi="Trebuchet MS" w:cs="Arial"/>
          <w:b/>
          <w:bCs/>
          <w:color w:val="5F5F5F"/>
          <w:sz w:val="20"/>
          <w:szCs w:val="20"/>
        </w:rPr>
        <w:t>I</w:t>
      </w:r>
      <w:r w:rsidRPr="00FA77B3">
        <w:rPr>
          <w:rFonts w:ascii="Trebuchet MS" w:hAnsi="Trebuchet MS" w:cs="Arial"/>
          <w:b/>
          <w:bCs/>
          <w:color w:val="5F5F5F"/>
          <w:sz w:val="20"/>
          <w:szCs w:val="20"/>
        </w:rPr>
        <w:t>struzione terziaria e superiore</w:t>
      </w:r>
      <w:r>
        <w:rPr>
          <w:rFonts w:ascii="Trebuchet MS" w:hAnsi="Trebuchet MS"/>
          <w:bCs/>
          <w:color w:val="5F5F5F"/>
          <w:sz w:val="20"/>
          <w:szCs w:val="20"/>
        </w:rPr>
        <w:t>: comprende l’istruzione terziaria, il dottorato di ricerca</w:t>
      </w:r>
      <w:r w:rsidRPr="00FA77B3">
        <w:rPr>
          <w:rFonts w:ascii="Trebuchet MS" w:hAnsi="Trebuchet MS"/>
          <w:bCs/>
          <w:color w:val="5F5F5F"/>
          <w:sz w:val="20"/>
          <w:szCs w:val="20"/>
        </w:rPr>
        <w:t>e il diploma accademico di formazione alla ricerca</w:t>
      </w:r>
    </w:p>
    <w:p w:rsidR="00344268" w:rsidRPr="001444EE" w:rsidRDefault="00344268" w:rsidP="00344268">
      <w:pPr>
        <w:spacing w:before="60" w:after="120"/>
        <w:jc w:val="both"/>
        <w:rPr>
          <w:rFonts w:ascii="Trebuchet MS" w:hAnsi="Trebuchet MS" w:cs="Arial"/>
          <w:bCs/>
          <w:color w:val="5F5F5F"/>
          <w:sz w:val="20"/>
          <w:szCs w:val="20"/>
        </w:rPr>
      </w:pPr>
      <w:r>
        <w:rPr>
          <w:rFonts w:ascii="Trebuchet MS" w:hAnsi="Trebuchet MS" w:cs="Arial"/>
          <w:b/>
          <w:bCs/>
          <w:color w:val="5F5F5F"/>
          <w:sz w:val="20"/>
          <w:szCs w:val="20"/>
        </w:rPr>
        <w:t xml:space="preserve">Licenza di scuola elementare: </w:t>
      </w:r>
      <w:r w:rsidRPr="001444EE">
        <w:rPr>
          <w:rFonts w:ascii="Trebuchet MS" w:hAnsi="Trebuchet MS" w:cs="Arial"/>
          <w:bCs/>
          <w:color w:val="5F5F5F"/>
          <w:sz w:val="20"/>
          <w:szCs w:val="20"/>
        </w:rPr>
        <w:t>titolo di studio che corrisponde al completamento del primo grado del sistema scolastico.</w:t>
      </w:r>
    </w:p>
    <w:p w:rsidR="00344268" w:rsidRPr="003A000A" w:rsidRDefault="00344268" w:rsidP="00344268">
      <w:pPr>
        <w:spacing w:before="60" w:after="120"/>
        <w:jc w:val="both"/>
        <w:rPr>
          <w:rFonts w:ascii="Trebuchet MS" w:hAnsi="Trebuchet MS" w:cs="Arial"/>
          <w:bCs/>
          <w:color w:val="5F5F5F"/>
          <w:sz w:val="20"/>
          <w:szCs w:val="20"/>
        </w:rPr>
      </w:pPr>
      <w:r w:rsidRPr="001444EE">
        <w:rPr>
          <w:rFonts w:ascii="Trebuchet MS" w:hAnsi="Trebuchet MS" w:cs="Arial"/>
          <w:b/>
          <w:bCs/>
          <w:color w:val="5F5F5F"/>
          <w:sz w:val="20"/>
          <w:szCs w:val="20"/>
        </w:rPr>
        <w:t xml:space="preserve">Licenza di scuola media inferiore o di avviamento professionale: </w:t>
      </w:r>
      <w:r w:rsidRPr="001444EE">
        <w:rPr>
          <w:rFonts w:ascii="Trebuchet MS" w:hAnsi="Trebuchet MS" w:cs="Arial"/>
          <w:bCs/>
          <w:color w:val="5F5F5F"/>
          <w:sz w:val="20"/>
          <w:szCs w:val="20"/>
        </w:rPr>
        <w:t>titolo di studio che corrisponde al completamento del secondo grado del sistema scolastico e rappresenta la conclusione del primo ciclo di istruzione.</w:t>
      </w:r>
    </w:p>
    <w:p w:rsidR="00344268" w:rsidRPr="00744640" w:rsidRDefault="00344268" w:rsidP="00344268">
      <w:pPr>
        <w:spacing w:before="60" w:after="120"/>
        <w:jc w:val="both"/>
        <w:rPr>
          <w:rFonts w:ascii="Trebuchet MS" w:hAnsi="Trebuchet MS" w:cs="Arial"/>
          <w:color w:val="5F5F5F"/>
          <w:sz w:val="20"/>
          <w:szCs w:val="20"/>
        </w:rPr>
      </w:pPr>
      <w:r>
        <w:rPr>
          <w:rFonts w:ascii="Trebuchet MS" w:hAnsi="Trebuchet MS" w:cs="Arial"/>
          <w:b/>
          <w:bCs/>
          <w:color w:val="5F5F5F"/>
          <w:sz w:val="20"/>
          <w:szCs w:val="20"/>
        </w:rPr>
        <w:t>Popolazione residente</w:t>
      </w:r>
      <w:r w:rsidRPr="00744640">
        <w:rPr>
          <w:rFonts w:ascii="Trebuchet MS" w:hAnsi="Trebuchet MS" w:cs="Arial"/>
          <w:b/>
          <w:bCs/>
          <w:color w:val="5F5F5F"/>
          <w:sz w:val="20"/>
          <w:szCs w:val="20"/>
        </w:rPr>
        <w:t>:</w:t>
      </w:r>
      <w:r w:rsidRPr="0060540B">
        <w:rPr>
          <w:rFonts w:ascii="Trebuchet MS" w:hAnsi="Trebuchet MS" w:cs="Arial"/>
          <w:color w:val="5F5F5F"/>
          <w:sz w:val="20"/>
          <w:szCs w:val="20"/>
        </w:rPr>
        <w:t>popolazione costituita dalle persone aventi dimora abituale in ciascun comune, anche se alla data del censimento sono assenti perché temporaneamente presenti in altro comune italiano o all’estero.</w:t>
      </w:r>
    </w:p>
    <w:p w:rsidR="00344268" w:rsidRDefault="00344268" w:rsidP="00344268">
      <w:pPr>
        <w:spacing w:before="60" w:after="120"/>
        <w:jc w:val="both"/>
        <w:rPr>
          <w:rFonts w:ascii="Trebuchet MS" w:hAnsi="Trebuchet MS" w:cs="Arial"/>
          <w:bCs/>
          <w:color w:val="5F5F5F"/>
          <w:sz w:val="20"/>
          <w:szCs w:val="20"/>
        </w:rPr>
      </w:pPr>
      <w:r>
        <w:rPr>
          <w:rFonts w:ascii="Trebuchet MS" w:hAnsi="Trebuchet MS" w:cs="Arial"/>
          <w:b/>
          <w:bCs/>
          <w:color w:val="5F5F5F"/>
          <w:sz w:val="20"/>
          <w:szCs w:val="20"/>
        </w:rPr>
        <w:t>Rapporto di mascolinità</w:t>
      </w:r>
      <w:r w:rsidRPr="00744640">
        <w:rPr>
          <w:rFonts w:ascii="Trebuchet MS" w:hAnsi="Trebuchet MS" w:cs="Arial"/>
          <w:b/>
          <w:bCs/>
          <w:color w:val="5F5F5F"/>
          <w:sz w:val="20"/>
          <w:szCs w:val="20"/>
        </w:rPr>
        <w:t>:</w:t>
      </w:r>
      <w:r w:rsidRPr="001444EE">
        <w:rPr>
          <w:rFonts w:ascii="Trebuchet MS" w:hAnsi="Trebuchet MS" w:cs="Arial"/>
          <w:bCs/>
          <w:color w:val="5F5F5F"/>
          <w:sz w:val="20"/>
          <w:szCs w:val="20"/>
        </w:rPr>
        <w:t>rapporto percentuale tra il numero di persone di sesso maschile e il numero di persone di sesso femminile.</w:t>
      </w:r>
    </w:p>
    <w:p w:rsidR="00344268" w:rsidRPr="003A000A" w:rsidRDefault="00344268" w:rsidP="00344268">
      <w:pPr>
        <w:spacing w:before="60" w:after="120"/>
        <w:jc w:val="both"/>
        <w:rPr>
          <w:rFonts w:ascii="Trebuchet MS" w:hAnsi="Trebuchet MS" w:cs="Arial"/>
          <w:bCs/>
          <w:color w:val="5F5F5F"/>
          <w:sz w:val="20"/>
          <w:szCs w:val="20"/>
        </w:rPr>
      </w:pPr>
      <w:r w:rsidRPr="001444EE">
        <w:rPr>
          <w:rFonts w:ascii="Trebuchet MS" w:hAnsi="Trebuchet MS" w:cs="Arial"/>
          <w:b/>
          <w:bCs/>
          <w:color w:val="5F5F5F"/>
          <w:sz w:val="20"/>
          <w:szCs w:val="20"/>
        </w:rPr>
        <w:t>Tasso di attività</w:t>
      </w:r>
      <w:r>
        <w:rPr>
          <w:rFonts w:ascii="Trebuchet MS" w:hAnsi="Trebuchet MS" w:cs="Arial"/>
          <w:b/>
          <w:bCs/>
          <w:color w:val="5F5F5F"/>
          <w:sz w:val="20"/>
          <w:szCs w:val="20"/>
        </w:rPr>
        <w:t xml:space="preserve">: </w:t>
      </w:r>
      <w:r w:rsidRPr="003A000A">
        <w:rPr>
          <w:rFonts w:ascii="Trebuchet MS" w:hAnsi="Trebuchet MS" w:cs="Arial"/>
          <w:bCs/>
          <w:color w:val="5F5F5F"/>
          <w:sz w:val="20"/>
          <w:szCs w:val="20"/>
        </w:rPr>
        <w:t>rapporto percentuale tra le persone appartenenti alle forze di lavoro (occupati e disoccupati) in una determinata classe di età (in genere 15-64 anni) e la popolazione totale di quella stessa classe d’età.</w:t>
      </w:r>
    </w:p>
    <w:p w:rsidR="00344268" w:rsidRPr="003A000A" w:rsidRDefault="00344268" w:rsidP="00344268">
      <w:pPr>
        <w:spacing w:before="60" w:after="120"/>
        <w:jc w:val="both"/>
        <w:rPr>
          <w:rFonts w:ascii="Trebuchet MS" w:hAnsi="Trebuchet MS" w:cs="Arial"/>
          <w:bCs/>
          <w:color w:val="5F5F5F"/>
          <w:sz w:val="20"/>
          <w:szCs w:val="20"/>
        </w:rPr>
      </w:pPr>
      <w:r w:rsidRPr="001444EE">
        <w:rPr>
          <w:rFonts w:ascii="Trebuchet MS" w:hAnsi="Trebuchet MS" w:cs="Arial"/>
          <w:b/>
          <w:bCs/>
          <w:color w:val="5F5F5F"/>
          <w:sz w:val="20"/>
          <w:szCs w:val="20"/>
        </w:rPr>
        <w:t>Tasso di occupazione</w:t>
      </w:r>
      <w:r>
        <w:rPr>
          <w:rFonts w:ascii="Trebuchet MS" w:hAnsi="Trebuchet MS" w:cs="Arial"/>
          <w:b/>
          <w:bCs/>
          <w:color w:val="5F5F5F"/>
          <w:sz w:val="20"/>
          <w:szCs w:val="20"/>
        </w:rPr>
        <w:t xml:space="preserve">: </w:t>
      </w:r>
      <w:r w:rsidRPr="003A000A">
        <w:rPr>
          <w:rFonts w:ascii="Trebuchet MS" w:hAnsi="Trebuchet MS" w:cs="Arial"/>
          <w:bCs/>
          <w:color w:val="5F5F5F"/>
          <w:sz w:val="20"/>
          <w:szCs w:val="20"/>
        </w:rPr>
        <w:t>rapporto percentuale tra gli occupati di una determinata classe d’età (in genere 15-64 anni) e la popolazione residente totale della stessa classe d’età.</w:t>
      </w:r>
    </w:p>
    <w:p w:rsidR="00344268" w:rsidRPr="003A000A" w:rsidRDefault="00344268" w:rsidP="00344268">
      <w:pPr>
        <w:spacing w:before="60" w:after="120"/>
        <w:jc w:val="both"/>
        <w:rPr>
          <w:rFonts w:ascii="Trebuchet MS" w:hAnsi="Trebuchet MS" w:cs="Arial"/>
          <w:bCs/>
          <w:color w:val="5F5F5F"/>
          <w:sz w:val="20"/>
          <w:szCs w:val="20"/>
        </w:rPr>
      </w:pPr>
      <w:r w:rsidRPr="001444EE">
        <w:rPr>
          <w:rFonts w:ascii="Trebuchet MS" w:hAnsi="Trebuchet MS" w:cs="Arial"/>
          <w:b/>
          <w:bCs/>
          <w:color w:val="5F5F5F"/>
          <w:sz w:val="20"/>
          <w:szCs w:val="20"/>
        </w:rPr>
        <w:t>Tasso di disoccupazione</w:t>
      </w:r>
      <w:r>
        <w:rPr>
          <w:rFonts w:ascii="Trebuchet MS" w:hAnsi="Trebuchet MS" w:cs="Arial"/>
          <w:b/>
          <w:bCs/>
          <w:color w:val="5F5F5F"/>
          <w:sz w:val="20"/>
          <w:szCs w:val="20"/>
        </w:rPr>
        <w:t xml:space="preserve">: </w:t>
      </w:r>
      <w:r w:rsidRPr="003A000A">
        <w:rPr>
          <w:rFonts w:ascii="Trebuchet MS" w:hAnsi="Trebuchet MS" w:cs="Arial"/>
          <w:bCs/>
          <w:color w:val="5F5F5F"/>
          <w:sz w:val="20"/>
          <w:szCs w:val="20"/>
        </w:rPr>
        <w:t>rapporto percentuale tra i disoccupati in una determinata classe d’età (in genere 15 anni e più) e l’insieme di occupati e disoccupati (forze di lavoro) della stessa classe d’età.</w:t>
      </w:r>
    </w:p>
    <w:p w:rsidR="005837FD" w:rsidRDefault="005837FD" w:rsidP="00A445FC">
      <w:pPr>
        <w:keepNext/>
        <w:keepLines/>
        <w:spacing w:before="120"/>
        <w:jc w:val="both"/>
        <w:rPr>
          <w:rFonts w:ascii="Arial" w:hAnsi="Arial" w:cs="Arial"/>
          <w:iCs/>
          <w:sz w:val="20"/>
          <w:szCs w:val="20"/>
        </w:rPr>
      </w:pPr>
    </w:p>
    <w:sectPr w:rsidR="005837FD" w:rsidSect="000A0813">
      <w:headerReference w:type="default" r:id="rId23"/>
      <w:footerReference w:type="default" r:id="rId24"/>
      <w:headerReference w:type="first" r:id="rId25"/>
      <w:footerReference w:type="first" r:id="rId26"/>
      <w:pgSz w:w="11906" w:h="16838"/>
      <w:pgMar w:top="1418" w:right="1134" w:bottom="851" w:left="1134" w:header="567" w:footer="39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36A7" w:rsidRDefault="008036A7">
      <w:r>
        <w:separator/>
      </w:r>
    </w:p>
  </w:endnote>
  <w:endnote w:type="continuationSeparator" w:id="1">
    <w:p w:rsidR="008036A7" w:rsidRDefault="008036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ヒラギノ角ゴ Pro W3">
    <w:charset w:val="80"/>
    <w:family w:val="auto"/>
    <w:pitch w:val="variable"/>
    <w:sig w:usb0="E00002FF" w:usb1="7AC7FFFF" w:usb2="00000012" w:usb3="00000000" w:csb0="0002000D"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7207653"/>
      <w:docPartObj>
        <w:docPartGallery w:val="Page Numbers (Bottom of Page)"/>
        <w:docPartUnique/>
      </w:docPartObj>
    </w:sdtPr>
    <w:sdtEndPr>
      <w:rPr>
        <w:rFonts w:ascii="Trebuchet MS" w:hAnsi="Trebuchet MS"/>
        <w:sz w:val="20"/>
        <w:szCs w:val="20"/>
      </w:rPr>
    </w:sdtEndPr>
    <w:sdtContent>
      <w:p w:rsidR="00923684" w:rsidRPr="00E072ED" w:rsidRDefault="00D236F8">
        <w:pPr>
          <w:pStyle w:val="Pidipagina"/>
          <w:jc w:val="right"/>
          <w:rPr>
            <w:rFonts w:ascii="Trebuchet MS" w:hAnsi="Trebuchet MS"/>
            <w:sz w:val="20"/>
            <w:szCs w:val="20"/>
          </w:rPr>
        </w:pPr>
        <w:r w:rsidRPr="00E072ED">
          <w:rPr>
            <w:rFonts w:ascii="Trebuchet MS" w:hAnsi="Trebuchet MS"/>
            <w:sz w:val="20"/>
            <w:szCs w:val="20"/>
          </w:rPr>
          <w:fldChar w:fldCharType="begin"/>
        </w:r>
        <w:r w:rsidR="00923684" w:rsidRPr="00E072ED">
          <w:rPr>
            <w:rFonts w:ascii="Trebuchet MS" w:hAnsi="Trebuchet MS"/>
            <w:sz w:val="20"/>
            <w:szCs w:val="20"/>
          </w:rPr>
          <w:instrText>PAGE   \* MERGEFORMAT</w:instrText>
        </w:r>
        <w:r w:rsidRPr="00E072ED">
          <w:rPr>
            <w:rFonts w:ascii="Trebuchet MS" w:hAnsi="Trebuchet MS"/>
            <w:sz w:val="20"/>
            <w:szCs w:val="20"/>
          </w:rPr>
          <w:fldChar w:fldCharType="separate"/>
        </w:r>
        <w:r w:rsidR="003421FF">
          <w:rPr>
            <w:rFonts w:ascii="Trebuchet MS" w:hAnsi="Trebuchet MS"/>
            <w:noProof/>
            <w:sz w:val="20"/>
            <w:szCs w:val="20"/>
          </w:rPr>
          <w:t>16</w:t>
        </w:r>
        <w:r w:rsidRPr="00E072ED">
          <w:rPr>
            <w:rFonts w:ascii="Trebuchet MS" w:hAnsi="Trebuchet MS"/>
            <w:sz w:val="20"/>
            <w:szCs w:val="20"/>
          </w:rPr>
          <w:fldChar w:fldCharType="end"/>
        </w:r>
      </w:p>
    </w:sdtContent>
  </w:sdt>
  <w:p w:rsidR="00923684" w:rsidRDefault="00923684">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684" w:rsidRDefault="00923684" w:rsidP="000A0813">
    <w:pPr>
      <w:pStyle w:val="Pidipagina"/>
      <w:ind w:left="-1134"/>
    </w:pPr>
    <w:r w:rsidRPr="00A815C7">
      <w:rPr>
        <w:noProof/>
        <w:color w:val="000000"/>
      </w:rPr>
      <w:drawing>
        <wp:inline distT="0" distB="0" distL="0" distR="0">
          <wp:extent cx="7668000" cy="666000"/>
          <wp:effectExtent l="0" t="0" r="0" b="1270"/>
          <wp:docPr id="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668000" cy="666000"/>
                  </a:xfrm>
                  <a:prstGeom prst="rect">
                    <a:avLst/>
                  </a:prstGeom>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36A7" w:rsidRDefault="008036A7">
      <w:r>
        <w:separator/>
      </w:r>
    </w:p>
  </w:footnote>
  <w:footnote w:type="continuationSeparator" w:id="1">
    <w:p w:rsidR="008036A7" w:rsidRDefault="008036A7">
      <w:r>
        <w:continuationSeparator/>
      </w:r>
    </w:p>
  </w:footnote>
  <w:footnote w:id="2">
    <w:p w:rsidR="00923684" w:rsidRDefault="00923684" w:rsidP="0083183D">
      <w:pPr>
        <w:pStyle w:val="Testonotaapidipagina"/>
        <w:spacing w:after="60" w:line="160" w:lineRule="exact"/>
        <w:ind w:left="113" w:hanging="113"/>
        <w:jc w:val="both"/>
      </w:pPr>
      <w:r w:rsidRPr="00157AB1">
        <w:rPr>
          <w:rStyle w:val="Rimandonotaapidipagina"/>
          <w:rFonts w:ascii="Trebuchet MS" w:hAnsi="Trebuchet MS"/>
          <w:color w:val="5F5F5F"/>
          <w:sz w:val="16"/>
          <w:szCs w:val="16"/>
        </w:rPr>
        <w:footnoteRef/>
      </w:r>
      <w:bookmarkStart w:id="2" w:name="_Hlk62465534"/>
      <w:r w:rsidRPr="00157AB1">
        <w:rPr>
          <w:rFonts w:ascii="Trebuchet MS" w:hAnsi="Trebuchet MS"/>
          <w:color w:val="5F5F5F"/>
          <w:sz w:val="16"/>
          <w:szCs w:val="16"/>
        </w:rPr>
        <w:t>Non essendo ancora disponibili i dati per condizione professionale e classe di età, i valori e gli indicatori relativi al mercato del lavoro sono sempre riferiti alla popolazione con 15 anni e più, anziche alla popolazione in età 15-64 anni.</w:t>
      </w:r>
      <w:bookmarkEnd w:id="2"/>
    </w:p>
  </w:footnote>
  <w:footnote w:id="3">
    <w:p w:rsidR="00923684" w:rsidRPr="001B7135" w:rsidRDefault="00923684">
      <w:pPr>
        <w:pStyle w:val="Testonotaapidipagina"/>
        <w:rPr>
          <w:rFonts w:ascii="Trebuchet MS" w:hAnsi="Trebuchet MS"/>
          <w:color w:val="5F5F5F"/>
          <w:sz w:val="16"/>
          <w:szCs w:val="16"/>
        </w:rPr>
      </w:pPr>
      <w:r w:rsidRPr="001B7135">
        <w:rPr>
          <w:rStyle w:val="Rimandonotaapidipagina"/>
          <w:rFonts w:ascii="Trebuchet MS" w:hAnsi="Trebuchet MS"/>
          <w:color w:val="5F5F5F"/>
          <w:sz w:val="16"/>
          <w:szCs w:val="16"/>
        </w:rPr>
        <w:footnoteRef/>
      </w:r>
      <w:r w:rsidRPr="001B7135">
        <w:rPr>
          <w:rFonts w:ascii="Trebuchet MS" w:hAnsi="Trebuchet MS"/>
          <w:color w:val="5F5F5F"/>
          <w:sz w:val="16"/>
          <w:szCs w:val="16"/>
        </w:rPr>
        <w:t xml:space="preserve"> Cfr. nota tecnica disponibile all’indirizzo https://www.istat.it/it/archivio/251687</w:t>
      </w:r>
    </w:p>
  </w:footnote>
  <w:footnote w:id="4">
    <w:p w:rsidR="00923684" w:rsidRPr="002C53A1" w:rsidRDefault="00923684" w:rsidP="006E2636">
      <w:pPr>
        <w:pStyle w:val="Testonotaapidipagina"/>
        <w:rPr>
          <w:rFonts w:ascii="Trebuchet MS" w:hAnsi="Trebuchet MS"/>
          <w:color w:val="5F5F5F"/>
          <w:sz w:val="16"/>
          <w:szCs w:val="16"/>
        </w:rPr>
      </w:pPr>
      <w:r w:rsidRPr="002C53A1">
        <w:rPr>
          <w:rStyle w:val="Rimandonotaapidipagina"/>
          <w:rFonts w:ascii="Trebuchet MS" w:hAnsi="Trebuchet MS"/>
          <w:color w:val="5F5F5F"/>
          <w:sz w:val="16"/>
          <w:szCs w:val="16"/>
        </w:rPr>
        <w:footnoteRef/>
      </w:r>
      <w:r w:rsidRPr="002C53A1">
        <w:rPr>
          <w:rFonts w:ascii="Trebuchet MS" w:hAnsi="Trebuchet MS"/>
          <w:color w:val="5F5F5F"/>
          <w:sz w:val="16"/>
          <w:szCs w:val="16"/>
        </w:rPr>
        <w:t>Variazione media annua geometrica (o composta)</w:t>
      </w:r>
      <w:r>
        <w:rPr>
          <w:rFonts w:ascii="Trebuchet MS" w:hAnsi="Trebuchet MS"/>
          <w:color w:val="5F5F5F"/>
          <w:sz w:val="16"/>
          <w:szCs w:val="16"/>
        </w:rPr>
        <w:t>.</w:t>
      </w:r>
    </w:p>
  </w:footnote>
  <w:footnote w:id="5">
    <w:p w:rsidR="00923684" w:rsidRPr="006747A1" w:rsidRDefault="00923684" w:rsidP="00326CEE">
      <w:pPr>
        <w:pStyle w:val="Testonotaapidipagina"/>
        <w:jc w:val="both"/>
        <w:rPr>
          <w:rFonts w:ascii="Trebuchet MS" w:hAnsi="Trebuchet MS"/>
          <w:sz w:val="16"/>
          <w:szCs w:val="16"/>
        </w:rPr>
      </w:pPr>
      <w:r w:rsidRPr="006747A1">
        <w:rPr>
          <w:rStyle w:val="Rimandonotaapidipagina"/>
          <w:rFonts w:ascii="Trebuchet MS" w:hAnsi="Trebuchet MS"/>
          <w:color w:val="5F5F5F"/>
          <w:sz w:val="16"/>
          <w:szCs w:val="16"/>
        </w:rPr>
        <w:footnoteRef/>
      </w:r>
      <w:r w:rsidRPr="006747A1">
        <w:rPr>
          <w:rFonts w:ascii="Trebuchet MS" w:hAnsi="Trebuchet MS"/>
          <w:color w:val="5F5F5F"/>
          <w:sz w:val="16"/>
          <w:szCs w:val="16"/>
        </w:rPr>
        <w:t xml:space="preserve">I comuni in crescita (o decrescita) sistematica sono quelli per i quali la popolazione ai censimenti ha fatto sempre registrare una crescita (o decrescita). L’inversione demografica, verso la crescita o decrescita, viene valutata rispetto agli ultimi due intervalli intercensuari (2001-2011 e 2011-2019). Sono classificati con </w:t>
      </w:r>
      <w:r>
        <w:rPr>
          <w:rFonts w:ascii="Trebuchet MS" w:hAnsi="Trebuchet MS"/>
          <w:color w:val="5F5F5F"/>
          <w:sz w:val="16"/>
          <w:szCs w:val="16"/>
        </w:rPr>
        <w:t>“</w:t>
      </w:r>
      <w:r w:rsidRPr="006747A1">
        <w:rPr>
          <w:rFonts w:ascii="Trebuchet MS" w:hAnsi="Trebuchet MS"/>
          <w:color w:val="5F5F5F"/>
          <w:sz w:val="16"/>
          <w:szCs w:val="16"/>
        </w:rPr>
        <w:t>N</w:t>
      </w:r>
      <w:r>
        <w:rPr>
          <w:rFonts w:ascii="Trebuchet MS" w:hAnsi="Trebuchet MS"/>
          <w:color w:val="5F5F5F"/>
          <w:sz w:val="16"/>
          <w:szCs w:val="16"/>
        </w:rPr>
        <w:t>essuna tendenza”</w:t>
      </w:r>
      <w:r w:rsidRPr="006747A1">
        <w:rPr>
          <w:rFonts w:ascii="Trebuchet MS" w:hAnsi="Trebuchet MS"/>
          <w:color w:val="5F5F5F"/>
          <w:sz w:val="16"/>
          <w:szCs w:val="16"/>
        </w:rPr>
        <w:t>. i comuni con una tendenza demografica alternata tra crescita e decrescita</w:t>
      </w:r>
      <w:r w:rsidRPr="006747A1">
        <w:rPr>
          <w:rFonts w:ascii="Trebuchet MS" w:hAnsi="Trebuchet MS"/>
          <w:sz w:val="16"/>
          <w:szCs w:val="16"/>
        </w:rPr>
        <w:t>.</w:t>
      </w:r>
    </w:p>
  </w:footnote>
  <w:footnote w:id="6">
    <w:p w:rsidR="00923684" w:rsidRPr="003B71FA" w:rsidRDefault="00923684" w:rsidP="00334440">
      <w:pPr>
        <w:pStyle w:val="Testonotaapidipagina"/>
        <w:jc w:val="both"/>
        <w:rPr>
          <w:sz w:val="16"/>
          <w:szCs w:val="16"/>
        </w:rPr>
      </w:pPr>
      <w:r w:rsidRPr="00326CEE">
        <w:rPr>
          <w:rFonts w:ascii="Trebuchet MS" w:hAnsi="Trebuchet MS"/>
          <w:color w:val="5F5F5F"/>
          <w:vertAlign w:val="superscript"/>
        </w:rPr>
        <w:footnoteRef/>
      </w:r>
      <w:r w:rsidRPr="003B71FA">
        <w:rPr>
          <w:rFonts w:ascii="Trebuchet MS" w:hAnsi="Trebuchet MS"/>
          <w:color w:val="5F5F5F"/>
          <w:sz w:val="16"/>
          <w:szCs w:val="16"/>
        </w:rPr>
        <w:t>Comprende la qualifica 2/3 anni, l'attestato di qualifica professionale e il diploma professionale IFP, la maturità di 4/5 anni e il Certificato di specializzazione tecnica superiore IFTS</w:t>
      </w:r>
      <w:r w:rsidRPr="003B71FA">
        <w:rPr>
          <w:sz w:val="16"/>
          <w:szCs w:val="16"/>
        </w:rPr>
        <w:t>.</w:t>
      </w:r>
    </w:p>
  </w:footnote>
  <w:footnote w:id="7">
    <w:p w:rsidR="00923684" w:rsidRPr="00E54FAB" w:rsidRDefault="00923684" w:rsidP="00E54FAB">
      <w:pPr>
        <w:pStyle w:val="Testonotaapidipagina"/>
        <w:jc w:val="both"/>
        <w:rPr>
          <w:sz w:val="16"/>
          <w:szCs w:val="16"/>
        </w:rPr>
      </w:pPr>
      <w:r w:rsidRPr="00E54FAB">
        <w:rPr>
          <w:rStyle w:val="Rimandonotaapidipagina"/>
          <w:rFonts w:ascii="Trebuchet MS" w:hAnsi="Trebuchet MS"/>
          <w:color w:val="5F5F5F"/>
        </w:rPr>
        <w:footnoteRef/>
      </w:r>
      <w:r w:rsidRPr="003B71FA">
        <w:rPr>
          <w:rFonts w:ascii="Trebuchet MS" w:hAnsi="Trebuchet MS"/>
          <w:color w:val="5F5F5F"/>
          <w:sz w:val="16"/>
          <w:szCs w:val="16"/>
        </w:rPr>
        <w:t>La categoria ‘Terziario’ c</w:t>
      </w:r>
      <w:r>
        <w:rPr>
          <w:rFonts w:ascii="Trebuchet MS" w:hAnsi="Trebuchet MS"/>
          <w:color w:val="5F5F5F"/>
          <w:sz w:val="16"/>
          <w:szCs w:val="16"/>
        </w:rPr>
        <w:t>omprende i titoli teriziari di primo livello, quelli di secondo</w:t>
      </w:r>
      <w:r w:rsidRPr="003B71FA">
        <w:rPr>
          <w:rFonts w:ascii="Trebuchet MS" w:hAnsi="Trebuchet MS"/>
          <w:color w:val="5F5F5F"/>
          <w:sz w:val="16"/>
          <w:szCs w:val="16"/>
        </w:rPr>
        <w:t xml:space="preserve"> livello, il dottorato di ricerca e i titoli rilasciati dalle scuole di alta formazione alla</w:t>
      </w:r>
      <w:r>
        <w:rPr>
          <w:rFonts w:ascii="Trebuchet MS" w:hAnsi="Trebuchet MS"/>
          <w:color w:val="5F5F5F"/>
          <w:sz w:val="16"/>
          <w:szCs w:val="16"/>
        </w:rPr>
        <w:t xml:space="preserve"> ricerca. I titoli terziari di primo</w:t>
      </w:r>
      <w:r w:rsidRPr="003B71FA">
        <w:rPr>
          <w:rFonts w:ascii="Trebuchet MS" w:hAnsi="Trebuchet MS"/>
          <w:color w:val="5F5F5F"/>
          <w:sz w:val="16"/>
          <w:szCs w:val="16"/>
        </w:rPr>
        <w:t xml:space="preserve"> livello includono il Diploma di tecnico superiore ITS, la Laurea o</w:t>
      </w:r>
      <w:r>
        <w:rPr>
          <w:rFonts w:ascii="Trebuchet MS" w:hAnsi="Trebuchet MS"/>
          <w:color w:val="5F5F5F"/>
          <w:sz w:val="16"/>
          <w:szCs w:val="16"/>
        </w:rPr>
        <w:t xml:space="preserve"> il Diploma accademico AFAM di primo</w:t>
      </w:r>
      <w:r w:rsidRPr="003B71FA">
        <w:rPr>
          <w:rFonts w:ascii="Trebuchet MS" w:hAnsi="Trebuchet MS"/>
          <w:color w:val="5F5F5F"/>
          <w:sz w:val="16"/>
          <w:szCs w:val="16"/>
        </w:rPr>
        <w:t xml:space="preserve"> livello, il Diploma universitario (2-3 anni), la Scuola diretta a fini speciali, altro diploma terziario non universit</w:t>
      </w:r>
      <w:r>
        <w:rPr>
          <w:rFonts w:ascii="Trebuchet MS" w:hAnsi="Trebuchet MS"/>
          <w:color w:val="5F5F5F"/>
          <w:sz w:val="16"/>
          <w:szCs w:val="16"/>
        </w:rPr>
        <w:t>ario. Il diploma terziario di secondo</w:t>
      </w:r>
      <w:r w:rsidRPr="003B71FA">
        <w:rPr>
          <w:rFonts w:ascii="Trebuchet MS" w:hAnsi="Trebuchet MS"/>
          <w:color w:val="5F5F5F"/>
          <w:sz w:val="16"/>
          <w:szCs w:val="16"/>
        </w:rPr>
        <w:t xml:space="preserve"> livello include la Laurea magistrale/specialistica (biennale, a ciclo unico, diploma di laurea di 4-6an</w:t>
      </w:r>
      <w:r>
        <w:rPr>
          <w:rFonts w:ascii="Trebuchet MS" w:hAnsi="Trebuchet MS"/>
          <w:color w:val="5F5F5F"/>
          <w:sz w:val="16"/>
          <w:szCs w:val="16"/>
        </w:rPr>
        <w:t>ni), il Diploma accademico di secondo</w:t>
      </w:r>
      <w:r w:rsidRPr="003B71FA">
        <w:rPr>
          <w:rFonts w:ascii="Trebuchet MS" w:hAnsi="Trebuchet MS"/>
          <w:color w:val="5F5F5F"/>
          <w:sz w:val="16"/>
          <w:szCs w:val="16"/>
        </w:rPr>
        <w:t xml:space="preserve"> livello (compresi i titoli del vecchio ordinamento – livello unico)</w:t>
      </w:r>
      <w:r w:rsidRPr="003B71FA">
        <w:rPr>
          <w:sz w:val="16"/>
          <w:szCs w:val="16"/>
        </w:rPr>
        <w:t>.</w:t>
      </w:r>
    </w:p>
  </w:footnote>
  <w:footnote w:id="8">
    <w:p w:rsidR="00923684" w:rsidRDefault="00923684" w:rsidP="0006580F">
      <w:pPr>
        <w:pStyle w:val="Testonotaapidipagina"/>
      </w:pPr>
      <w:r w:rsidRPr="000A37FF">
        <w:rPr>
          <w:rStyle w:val="Rimandonotaapidipagina"/>
          <w:rFonts w:ascii="Trebuchet MS" w:hAnsi="Trebuchet MS" w:cs="Times New Roman"/>
          <w:color w:val="5F5F5F"/>
        </w:rPr>
        <w:footnoteRef/>
      </w:r>
      <w:r w:rsidRPr="000A37FF">
        <w:rPr>
          <w:rFonts w:ascii="Trebuchet MS" w:hAnsi="Trebuchet MS"/>
          <w:color w:val="5F5F5F"/>
          <w:sz w:val="16"/>
          <w:szCs w:val="16"/>
        </w:rPr>
        <w:t>Vedi nota 1 a pag. 2</w:t>
      </w:r>
    </w:p>
  </w:footnote>
  <w:footnote w:id="9">
    <w:p w:rsidR="00923684" w:rsidRDefault="00923684" w:rsidP="00935B9F">
      <w:pPr>
        <w:pStyle w:val="Testonotaapidipagina"/>
      </w:pPr>
      <w:r w:rsidRPr="000A37FF">
        <w:rPr>
          <w:rStyle w:val="Rimandonotaapidipagina"/>
          <w:rFonts w:ascii="Trebuchet MS" w:hAnsi="Trebuchet MS" w:cs="Times New Roman"/>
          <w:color w:val="5F5F5F"/>
        </w:rPr>
        <w:footnoteRef/>
      </w:r>
      <w:r w:rsidRPr="000A37FF">
        <w:rPr>
          <w:rFonts w:ascii="Trebuchet MS" w:hAnsi="Trebuchet MS"/>
          <w:color w:val="5F5F5F"/>
          <w:sz w:val="16"/>
          <w:szCs w:val="16"/>
        </w:rPr>
        <w:t>Vedi nota 1 a pag. 2</w:t>
      </w:r>
    </w:p>
  </w:footnote>
  <w:footnote w:id="10">
    <w:p w:rsidR="00923684" w:rsidRDefault="00923684" w:rsidP="0006580F">
      <w:pPr>
        <w:pStyle w:val="Testonotaapidipagina"/>
      </w:pPr>
      <w:r w:rsidRPr="000A37FF">
        <w:rPr>
          <w:rStyle w:val="Rimandonotaapidipagina"/>
          <w:rFonts w:ascii="Trebuchet MS" w:hAnsi="Trebuchet MS" w:cs="Times New Roman"/>
          <w:color w:val="5F5F5F"/>
        </w:rPr>
        <w:footnoteRef/>
      </w:r>
      <w:r w:rsidRPr="000A37FF">
        <w:rPr>
          <w:rFonts w:ascii="Trebuchet MS" w:hAnsi="Trebuchet MS"/>
          <w:color w:val="5F5F5F"/>
          <w:sz w:val="16"/>
          <w:szCs w:val="16"/>
        </w:rPr>
        <w:t>Vedi nota 1 a pag. 2</w:t>
      </w:r>
    </w:p>
  </w:footnote>
  <w:footnote w:id="11">
    <w:p w:rsidR="00923684" w:rsidRDefault="00923684" w:rsidP="008340B2">
      <w:pPr>
        <w:jc w:val="both"/>
      </w:pPr>
      <w:r w:rsidRPr="00A93CA6">
        <w:rPr>
          <w:rStyle w:val="Rimandonotaapidipagina"/>
          <w:rFonts w:ascii="Trebuchet MS" w:hAnsi="Trebuchet MS"/>
          <w:color w:val="5F5F5F"/>
          <w:sz w:val="20"/>
          <w:szCs w:val="20"/>
        </w:rPr>
        <w:footnoteRef/>
      </w:r>
      <w:r w:rsidRPr="00A93CA6">
        <w:rPr>
          <w:rFonts w:ascii="Trebuchet MS" w:hAnsi="Trebuchet MS"/>
          <w:color w:val="5F5F5F"/>
          <w:sz w:val="18"/>
          <w:szCs w:val="18"/>
        </w:rPr>
        <w:t>DPS, Le aree interne: di quali territori parliamo? Nota esplicativa sul metodo di classificazione delle aree (</w:t>
      </w:r>
      <w:hyperlink r:id="rId1" w:history="1">
        <w:r w:rsidRPr="00A93CA6">
          <w:rPr>
            <w:rStyle w:val="Collegamentoipertestuale"/>
            <w:rFonts w:ascii="Trebuchet MS" w:hAnsi="Trebuchet MS"/>
            <w:color w:val="5F5F5F"/>
            <w:sz w:val="18"/>
            <w:szCs w:val="18"/>
          </w:rPr>
          <w:t>http://old2018.agenziacoesione.gov.it/opencms/export/sites/dps/it/documentazione/Aree_interne/Nota_metodologica_Aree_interne.pdf</w:t>
        </w:r>
      </w:hyperlink>
      <w:r w:rsidRPr="00A93CA6">
        <w:rPr>
          <w:rFonts w:ascii="Trebuchet MS" w:hAnsi="Trebuchet MS"/>
          <w:color w:val="5F5F5F"/>
          <w:sz w:val="18"/>
          <w:szCs w:val="18"/>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684" w:rsidRDefault="00923684">
    <w:pPr>
      <w:pStyle w:val="Intestazione"/>
    </w:pPr>
    <w:r w:rsidRPr="003C41E2">
      <w:rPr>
        <w:noProof/>
      </w:rPr>
      <w:drawing>
        <wp:inline distT="0" distB="0" distL="0" distR="0">
          <wp:extent cx="1631120" cy="609631"/>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ecutivo HD:Users:Nicola:Desktop:WORK:ISTAT:GADGET:Logo censimenti.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1631498" cy="609772"/>
                  </a:xfrm>
                  <a:prstGeom prst="rect">
                    <a:avLst/>
                  </a:prstGeom>
                  <a:noFill/>
                  <a:ln>
                    <a:noFill/>
                  </a:ln>
                </pic:spPr>
              </pic:pic>
            </a:graphicData>
          </a:graphic>
        </wp:inline>
      </w:drawing>
    </w:r>
  </w:p>
  <w:p w:rsidR="00923684" w:rsidRDefault="00923684" w:rsidP="00E072ED">
    <w:pPr>
      <w:pStyle w:val="Intestazione"/>
      <w:spacing w:after="12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684" w:rsidRDefault="00D236F8" w:rsidP="00BA7CD5">
    <w:pPr>
      <w:pStyle w:val="Paragrafoelenco"/>
      <w:ind w:left="0"/>
      <w:jc w:val="both"/>
    </w:pPr>
    <w:r>
      <w:rPr>
        <w:noProof/>
      </w:rPr>
      <w:pict>
        <v:shapetype id="_x0000_t202" coordsize="21600,21600" o:spt="202" path="m,l,21600r21600,l21600,xe">
          <v:stroke joinstyle="miter"/>
          <v:path gradientshapeok="t" o:connecttype="rect"/>
        </v:shapetype>
        <v:shape id="Casella di testo 3" o:spid="_x0000_s4097" type="#_x0000_t202" style="position:absolute;left:0;text-align:left;margin-left:250.05pt;margin-top:14.45pt;width:229.5pt;height:33.75pt;z-index:251659776;visibility:visible;mso-position-horizont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" filled="f" stroked="f">
          <v:textbox inset=".5mm,.3mm,.5mm,.3mm">
            <w:txbxContent>
              <w:p w:rsidR="00923684" w:rsidRPr="006254A8" w:rsidRDefault="00923684" w:rsidP="00EB7372">
                <w:pPr>
                  <w:jc w:val="right"/>
                  <w:rPr>
                    <w:rFonts w:ascii="Arial Narrow" w:hAnsi="Arial Narrow"/>
                    <w:b/>
                    <w:color w:val="A6A6A6" w:themeColor="background1" w:themeShade="A6"/>
                    <w:sz w:val="26"/>
                    <w:szCs w:val="26"/>
                  </w:rPr>
                </w:pPr>
                <w:r>
                  <w:rPr>
                    <w:rFonts w:ascii="Arial Narrow" w:hAnsi="Arial Narrow"/>
                    <w:b/>
                    <w:color w:val="A6A6A6" w:themeColor="background1" w:themeShade="A6"/>
                    <w:sz w:val="26"/>
                    <w:szCs w:val="26"/>
                  </w:rPr>
                  <w:t xml:space="preserve">19 febbraio 2021 </w:t>
                </w:r>
              </w:p>
            </w:txbxContent>
          </v:textbox>
          <w10:wrap type="square" anchorx="margin"/>
        </v:shape>
      </w:pict>
    </w:r>
    <w:r w:rsidR="00923684" w:rsidRPr="00A815C7">
      <w:rPr>
        <w:noProof/>
        <w:color w:val="000000"/>
      </w:rPr>
      <w:drawing>
        <wp:inline distT="0" distB="0" distL="0" distR="0">
          <wp:extent cx="2694342" cy="568569"/>
          <wp:effectExtent l="0" t="0" r="0" b="3175"/>
          <wp:docPr id="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700000" cy="569763"/>
                  </a:xfrm>
                  <a:prstGeom prst="rect">
                    <a:avLst/>
                  </a:prstGeom>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C5446"/>
    <w:multiLevelType w:val="hybridMultilevel"/>
    <w:tmpl w:val="86308360"/>
    <w:lvl w:ilvl="0" w:tplc="58F07F4A">
      <w:start w:val="1"/>
      <w:numFmt w:val="decimal"/>
      <w:pStyle w:val="01Titolocapitolo"/>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
    <w:nsid w:val="0F1250D1"/>
    <w:multiLevelType w:val="hybridMultilevel"/>
    <w:tmpl w:val="78D4C65E"/>
    <w:lvl w:ilvl="0" w:tplc="B128F748">
      <w:start w:val="1"/>
      <w:numFmt w:val="bullet"/>
      <w:pStyle w:val="04Elencopuntato"/>
      <w:lvlText w:val=""/>
      <w:lvlJc w:val="left"/>
      <w:pPr>
        <w:ind w:left="502" w:hanging="360"/>
      </w:pPr>
      <w:rPr>
        <w:rFonts w:ascii="Wingdings 2" w:hAnsi="Wingdings 2" w:hint="default"/>
        <w:color w:val="CC0000"/>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2">
    <w:nsid w:val="14AE0B8D"/>
    <w:multiLevelType w:val="multilevel"/>
    <w:tmpl w:val="57164C58"/>
    <w:lvl w:ilvl="0">
      <w:start w:val="3"/>
      <w:numFmt w:val="decimal"/>
      <w:lvlText w:val="%1."/>
      <w:lvlJc w:val="left"/>
      <w:pPr>
        <w:ind w:left="1778" w:hanging="360"/>
      </w:pPr>
      <w:rPr>
        <w:rFonts w:hint="default"/>
      </w:rPr>
    </w:lvl>
    <w:lvl w:ilvl="1">
      <w:start w:val="1"/>
      <w:numFmt w:val="decimal"/>
      <w:lvlText w:val="%1.%2."/>
      <w:lvlJc w:val="left"/>
      <w:pPr>
        <w:ind w:left="2276" w:hanging="432"/>
      </w:pPr>
      <w:rPr>
        <w:rFonts w:hint="default"/>
      </w:rPr>
    </w:lvl>
    <w:lvl w:ilvl="2">
      <w:start w:val="1"/>
      <w:numFmt w:val="decimal"/>
      <w:lvlText w:val="%1.%2.%3."/>
      <w:lvlJc w:val="left"/>
      <w:pPr>
        <w:ind w:left="2642" w:hanging="504"/>
      </w:pPr>
      <w:rPr>
        <w:rFonts w:hint="default"/>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3">
    <w:nsid w:val="19923909"/>
    <w:multiLevelType w:val="hybridMultilevel"/>
    <w:tmpl w:val="9F10C7A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27EC4727"/>
    <w:multiLevelType w:val="hybridMultilevel"/>
    <w:tmpl w:val="F64E9172"/>
    <w:lvl w:ilvl="0" w:tplc="9DAC7DEA">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2CE635FA"/>
    <w:multiLevelType w:val="hybridMultilevel"/>
    <w:tmpl w:val="4B9E4FFA"/>
    <w:lvl w:ilvl="0" w:tplc="EA045662">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3A226446"/>
    <w:multiLevelType w:val="hybridMultilevel"/>
    <w:tmpl w:val="8596417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3D906BB9"/>
    <w:multiLevelType w:val="hybridMultilevel"/>
    <w:tmpl w:val="4D54F07A"/>
    <w:lvl w:ilvl="0" w:tplc="3AFA0340">
      <w:start w:val="1"/>
      <w:numFmt w:val="lowerLetter"/>
      <w:lvlText w:val="(%1)"/>
      <w:lvlJc w:val="left"/>
      <w:pPr>
        <w:ind w:left="2345" w:hanging="360"/>
      </w:pPr>
      <w:rPr>
        <w:rFonts w:hint="default"/>
        <w:vertAlign w:val="superscript"/>
      </w:rPr>
    </w:lvl>
    <w:lvl w:ilvl="1" w:tplc="04100019" w:tentative="1">
      <w:start w:val="1"/>
      <w:numFmt w:val="lowerLetter"/>
      <w:lvlText w:val="%2."/>
      <w:lvlJc w:val="left"/>
      <w:pPr>
        <w:ind w:left="3065" w:hanging="360"/>
      </w:pPr>
    </w:lvl>
    <w:lvl w:ilvl="2" w:tplc="0410001B" w:tentative="1">
      <w:start w:val="1"/>
      <w:numFmt w:val="lowerRoman"/>
      <w:lvlText w:val="%3."/>
      <w:lvlJc w:val="right"/>
      <w:pPr>
        <w:ind w:left="3785" w:hanging="180"/>
      </w:pPr>
    </w:lvl>
    <w:lvl w:ilvl="3" w:tplc="0410000F" w:tentative="1">
      <w:start w:val="1"/>
      <w:numFmt w:val="decimal"/>
      <w:lvlText w:val="%4."/>
      <w:lvlJc w:val="left"/>
      <w:pPr>
        <w:ind w:left="4505" w:hanging="360"/>
      </w:pPr>
    </w:lvl>
    <w:lvl w:ilvl="4" w:tplc="04100019" w:tentative="1">
      <w:start w:val="1"/>
      <w:numFmt w:val="lowerLetter"/>
      <w:lvlText w:val="%5."/>
      <w:lvlJc w:val="left"/>
      <w:pPr>
        <w:ind w:left="5225" w:hanging="360"/>
      </w:pPr>
    </w:lvl>
    <w:lvl w:ilvl="5" w:tplc="0410001B" w:tentative="1">
      <w:start w:val="1"/>
      <w:numFmt w:val="lowerRoman"/>
      <w:lvlText w:val="%6."/>
      <w:lvlJc w:val="right"/>
      <w:pPr>
        <w:ind w:left="5945" w:hanging="180"/>
      </w:pPr>
    </w:lvl>
    <w:lvl w:ilvl="6" w:tplc="0410000F" w:tentative="1">
      <w:start w:val="1"/>
      <w:numFmt w:val="decimal"/>
      <w:lvlText w:val="%7."/>
      <w:lvlJc w:val="left"/>
      <w:pPr>
        <w:ind w:left="6665" w:hanging="360"/>
      </w:pPr>
    </w:lvl>
    <w:lvl w:ilvl="7" w:tplc="04100019" w:tentative="1">
      <w:start w:val="1"/>
      <w:numFmt w:val="lowerLetter"/>
      <w:lvlText w:val="%8."/>
      <w:lvlJc w:val="left"/>
      <w:pPr>
        <w:ind w:left="7385" w:hanging="360"/>
      </w:pPr>
    </w:lvl>
    <w:lvl w:ilvl="8" w:tplc="0410001B" w:tentative="1">
      <w:start w:val="1"/>
      <w:numFmt w:val="lowerRoman"/>
      <w:lvlText w:val="%9."/>
      <w:lvlJc w:val="right"/>
      <w:pPr>
        <w:ind w:left="8105" w:hanging="180"/>
      </w:pPr>
    </w:lvl>
  </w:abstractNum>
  <w:abstractNum w:abstractNumId="8">
    <w:nsid w:val="3EE10808"/>
    <w:multiLevelType w:val="hybridMultilevel"/>
    <w:tmpl w:val="A704BB72"/>
    <w:lvl w:ilvl="0" w:tplc="66DA58E4">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40CC13B7"/>
    <w:multiLevelType w:val="hybridMultilevel"/>
    <w:tmpl w:val="F6A83AF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2FD1582"/>
    <w:multiLevelType w:val="multilevel"/>
    <w:tmpl w:val="B0C879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8192CC4"/>
    <w:multiLevelType w:val="multilevel"/>
    <w:tmpl w:val="F7B0E23E"/>
    <w:styleLink w:val="Ann07Testoelencopuntato"/>
    <w:lvl w:ilvl="0">
      <w:start w:val="1"/>
      <w:numFmt w:val="bullet"/>
      <w:lvlText w:val=""/>
      <w:lvlJc w:val="left"/>
      <w:pPr>
        <w:tabs>
          <w:tab w:val="num" w:pos="794"/>
        </w:tabs>
        <w:ind w:left="794" w:hanging="397"/>
      </w:pPr>
      <w:rPr>
        <w:rFonts w:ascii="Symbol" w:hAnsi="Symbol" w:hint="default"/>
        <w:sz w:val="22"/>
        <w:szCs w:val="22"/>
      </w:rPr>
    </w:lvl>
    <w:lvl w:ilvl="1">
      <w:start w:val="1"/>
      <w:numFmt w:val="bullet"/>
      <w:lvlText w:val=""/>
      <w:lvlJc w:val="left"/>
      <w:pPr>
        <w:tabs>
          <w:tab w:val="num" w:pos="680"/>
        </w:tabs>
        <w:ind w:left="680" w:hanging="28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48E110FC"/>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92B405F"/>
    <w:multiLevelType w:val="hybridMultilevel"/>
    <w:tmpl w:val="841C86A0"/>
    <w:lvl w:ilvl="0" w:tplc="EA045662">
      <w:start w:val="1"/>
      <w:numFmt w:val="lowerRoman"/>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4FC205D5"/>
    <w:multiLevelType w:val="multilevel"/>
    <w:tmpl w:val="E26492C2"/>
    <w:lvl w:ilvl="0">
      <w:start w:val="2"/>
      <w:numFmt w:val="decimal"/>
      <w:lvlText w:val="%1."/>
      <w:lvlJc w:val="left"/>
      <w:pPr>
        <w:ind w:left="1778" w:hanging="360"/>
      </w:pPr>
      <w:rPr>
        <w:rFonts w:hint="default"/>
      </w:rPr>
    </w:lvl>
    <w:lvl w:ilvl="1">
      <w:start w:val="1"/>
      <w:numFmt w:val="decimal"/>
      <w:lvlText w:val="%1.%2."/>
      <w:lvlJc w:val="left"/>
      <w:pPr>
        <w:ind w:left="2276" w:hanging="432"/>
      </w:pPr>
      <w:rPr>
        <w:rFonts w:hint="default"/>
      </w:rPr>
    </w:lvl>
    <w:lvl w:ilvl="2">
      <w:start w:val="1"/>
      <w:numFmt w:val="decimal"/>
      <w:lvlText w:val="%1.%2.%3."/>
      <w:lvlJc w:val="left"/>
      <w:pPr>
        <w:ind w:left="2642" w:hanging="504"/>
      </w:pPr>
      <w:rPr>
        <w:rFonts w:hint="default"/>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15">
    <w:nsid w:val="4FE66AB6"/>
    <w:multiLevelType w:val="hybridMultilevel"/>
    <w:tmpl w:val="FECED2AC"/>
    <w:lvl w:ilvl="0" w:tplc="9D8EC270">
      <w:numFmt w:val="bullet"/>
      <w:lvlText w:val="-"/>
      <w:lvlJc w:val="left"/>
      <w:pPr>
        <w:ind w:left="720" w:hanging="360"/>
      </w:pPr>
      <w:rPr>
        <w:rFonts w:ascii="Trebuchet MS" w:eastAsia="Times New Roman" w:hAnsi="Trebuchet M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3D2615D"/>
    <w:multiLevelType w:val="multilevel"/>
    <w:tmpl w:val="015A15DE"/>
    <w:styleLink w:val="Ann05Testoelenconumerico"/>
    <w:lvl w:ilvl="0">
      <w:start w:val="1"/>
      <w:numFmt w:val="decimal"/>
      <w:lvlText w:val="%1)"/>
      <w:lvlJc w:val="left"/>
      <w:pPr>
        <w:tabs>
          <w:tab w:val="num" w:pos="794"/>
        </w:tabs>
        <w:ind w:left="794" w:hanging="397"/>
      </w:pPr>
      <w:rPr>
        <w:rFonts w:hint="default"/>
      </w:rPr>
    </w:lvl>
    <w:lvl w:ilvl="1">
      <w:start w:val="1"/>
      <w:numFmt w:val="decimal"/>
      <w:lvlText w:val="%2)"/>
      <w:lvlJc w:val="left"/>
      <w:pPr>
        <w:tabs>
          <w:tab w:val="num" w:pos="964"/>
        </w:tabs>
        <w:ind w:left="964" w:hanging="284"/>
      </w:pPr>
      <w:rPr>
        <w:rFonts w:ascii="Times New Roman" w:hAnsi="Times New Roman" w:hint="default"/>
        <w:b w:val="0"/>
        <w:i w:val="0"/>
        <w:sz w:val="22"/>
        <w:szCs w:val="22"/>
      </w:rPr>
    </w:lvl>
    <w:lvl w:ilvl="2">
      <w:start w:val="1"/>
      <w:numFmt w:val="decimal"/>
      <w:lvlText w:val="%3)"/>
      <w:lvlJc w:val="left"/>
      <w:pPr>
        <w:tabs>
          <w:tab w:val="num" w:pos="964"/>
        </w:tabs>
        <w:ind w:left="964" w:hanging="284"/>
      </w:pPr>
      <w:rPr>
        <w:rFonts w:hint="default"/>
      </w:rPr>
    </w:lvl>
    <w:lvl w:ilvl="3">
      <w:start w:val="1"/>
      <w:numFmt w:val="decimal"/>
      <w:lvlText w:val="%4)"/>
      <w:lvlJc w:val="left"/>
      <w:pPr>
        <w:tabs>
          <w:tab w:val="num" w:pos="964"/>
        </w:tabs>
        <w:ind w:left="964" w:hanging="284"/>
      </w:pPr>
      <w:rPr>
        <w:rFonts w:ascii="Times New Roman" w:hAnsi="Times New Roman" w:hint="default"/>
        <w:b w:val="0"/>
        <w:i w:val="0"/>
        <w:sz w:val="22"/>
        <w:szCs w:val="2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53F51C35"/>
    <w:multiLevelType w:val="multilevel"/>
    <w:tmpl w:val="858854B2"/>
    <w:lvl w:ilvl="0">
      <w:start w:val="2"/>
      <w:numFmt w:val="decimal"/>
      <w:lvlText w:val="%1"/>
      <w:lvlJc w:val="left"/>
      <w:pPr>
        <w:ind w:left="644" w:hanging="360"/>
      </w:pPr>
      <w:rPr>
        <w:rFonts w:hint="default"/>
      </w:rPr>
    </w:lvl>
    <w:lvl w:ilvl="1">
      <w:start w:val="1"/>
      <w:numFmt w:val="decimal"/>
      <w:lvlText w:val="%1.%2"/>
      <w:lvlJc w:val="left"/>
      <w:pPr>
        <w:ind w:left="2487" w:hanging="36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6533" w:hanging="720"/>
      </w:pPr>
      <w:rPr>
        <w:rFonts w:hint="default"/>
      </w:rPr>
    </w:lvl>
    <w:lvl w:ilvl="4">
      <w:start w:val="1"/>
      <w:numFmt w:val="decimal"/>
      <w:lvlText w:val="%1.%2.%3.%4.%5"/>
      <w:lvlJc w:val="left"/>
      <w:pPr>
        <w:ind w:left="8736" w:hanging="1080"/>
      </w:pPr>
      <w:rPr>
        <w:rFonts w:hint="default"/>
      </w:rPr>
    </w:lvl>
    <w:lvl w:ilvl="5">
      <w:start w:val="1"/>
      <w:numFmt w:val="decimal"/>
      <w:lvlText w:val="%1.%2.%3.%4.%5.%6"/>
      <w:lvlJc w:val="left"/>
      <w:pPr>
        <w:ind w:left="10579" w:hanging="1080"/>
      </w:pPr>
      <w:rPr>
        <w:rFonts w:hint="default"/>
      </w:rPr>
    </w:lvl>
    <w:lvl w:ilvl="6">
      <w:start w:val="1"/>
      <w:numFmt w:val="decimal"/>
      <w:lvlText w:val="%1.%2.%3.%4.%5.%6.%7"/>
      <w:lvlJc w:val="left"/>
      <w:pPr>
        <w:ind w:left="12782" w:hanging="1440"/>
      </w:pPr>
      <w:rPr>
        <w:rFonts w:hint="default"/>
      </w:rPr>
    </w:lvl>
    <w:lvl w:ilvl="7">
      <w:start w:val="1"/>
      <w:numFmt w:val="decimal"/>
      <w:lvlText w:val="%1.%2.%3.%4.%5.%6.%7.%8"/>
      <w:lvlJc w:val="left"/>
      <w:pPr>
        <w:ind w:left="14625" w:hanging="1440"/>
      </w:pPr>
      <w:rPr>
        <w:rFonts w:hint="default"/>
      </w:rPr>
    </w:lvl>
    <w:lvl w:ilvl="8">
      <w:start w:val="1"/>
      <w:numFmt w:val="decimal"/>
      <w:lvlText w:val="%1.%2.%3.%4.%5.%6.%7.%8.%9"/>
      <w:lvlJc w:val="left"/>
      <w:pPr>
        <w:ind w:left="16828" w:hanging="1800"/>
      </w:pPr>
      <w:rPr>
        <w:rFonts w:hint="default"/>
      </w:rPr>
    </w:lvl>
  </w:abstractNum>
  <w:abstractNum w:abstractNumId="18">
    <w:nsid w:val="57331640"/>
    <w:multiLevelType w:val="multilevel"/>
    <w:tmpl w:val="42787A64"/>
    <w:lvl w:ilvl="0">
      <w:start w:val="1"/>
      <w:numFmt w:val="decimal"/>
      <w:lvlText w:val="%1."/>
      <w:lvlJc w:val="left"/>
      <w:pPr>
        <w:ind w:left="1778" w:hanging="360"/>
      </w:pPr>
      <w:rPr>
        <w:rFonts w:hint="default"/>
      </w:rPr>
    </w:lvl>
    <w:lvl w:ilvl="1">
      <w:start w:val="2"/>
      <w:numFmt w:val="decimal"/>
      <w:lvlText w:val="%1.%2."/>
      <w:lvlJc w:val="left"/>
      <w:pPr>
        <w:ind w:left="2276" w:hanging="432"/>
      </w:pPr>
      <w:rPr>
        <w:rFonts w:hint="default"/>
      </w:rPr>
    </w:lvl>
    <w:lvl w:ilvl="2">
      <w:start w:val="1"/>
      <w:numFmt w:val="decimal"/>
      <w:lvlText w:val="%1.%2.%3."/>
      <w:lvlJc w:val="left"/>
      <w:pPr>
        <w:ind w:left="2642" w:hanging="504"/>
      </w:pPr>
      <w:rPr>
        <w:rFonts w:hint="default"/>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19">
    <w:nsid w:val="578962D3"/>
    <w:multiLevelType w:val="hybridMultilevel"/>
    <w:tmpl w:val="4D54F07A"/>
    <w:lvl w:ilvl="0" w:tplc="3AFA0340">
      <w:start w:val="1"/>
      <w:numFmt w:val="lowerLetter"/>
      <w:lvlText w:val="(%1)"/>
      <w:lvlJc w:val="left"/>
      <w:pPr>
        <w:ind w:left="2345" w:hanging="360"/>
      </w:pPr>
      <w:rPr>
        <w:rFonts w:hint="default"/>
        <w:vertAlign w:val="superscript"/>
      </w:rPr>
    </w:lvl>
    <w:lvl w:ilvl="1" w:tplc="04100019" w:tentative="1">
      <w:start w:val="1"/>
      <w:numFmt w:val="lowerLetter"/>
      <w:lvlText w:val="%2."/>
      <w:lvlJc w:val="left"/>
      <w:pPr>
        <w:ind w:left="3065" w:hanging="360"/>
      </w:pPr>
    </w:lvl>
    <w:lvl w:ilvl="2" w:tplc="0410001B" w:tentative="1">
      <w:start w:val="1"/>
      <w:numFmt w:val="lowerRoman"/>
      <w:lvlText w:val="%3."/>
      <w:lvlJc w:val="right"/>
      <w:pPr>
        <w:ind w:left="3785" w:hanging="180"/>
      </w:pPr>
    </w:lvl>
    <w:lvl w:ilvl="3" w:tplc="0410000F" w:tentative="1">
      <w:start w:val="1"/>
      <w:numFmt w:val="decimal"/>
      <w:lvlText w:val="%4."/>
      <w:lvlJc w:val="left"/>
      <w:pPr>
        <w:ind w:left="4505" w:hanging="360"/>
      </w:pPr>
    </w:lvl>
    <w:lvl w:ilvl="4" w:tplc="04100019" w:tentative="1">
      <w:start w:val="1"/>
      <w:numFmt w:val="lowerLetter"/>
      <w:lvlText w:val="%5."/>
      <w:lvlJc w:val="left"/>
      <w:pPr>
        <w:ind w:left="5225" w:hanging="360"/>
      </w:pPr>
    </w:lvl>
    <w:lvl w:ilvl="5" w:tplc="0410001B" w:tentative="1">
      <w:start w:val="1"/>
      <w:numFmt w:val="lowerRoman"/>
      <w:lvlText w:val="%6."/>
      <w:lvlJc w:val="right"/>
      <w:pPr>
        <w:ind w:left="5945" w:hanging="180"/>
      </w:pPr>
    </w:lvl>
    <w:lvl w:ilvl="6" w:tplc="0410000F" w:tentative="1">
      <w:start w:val="1"/>
      <w:numFmt w:val="decimal"/>
      <w:lvlText w:val="%7."/>
      <w:lvlJc w:val="left"/>
      <w:pPr>
        <w:ind w:left="6665" w:hanging="360"/>
      </w:pPr>
    </w:lvl>
    <w:lvl w:ilvl="7" w:tplc="04100019" w:tentative="1">
      <w:start w:val="1"/>
      <w:numFmt w:val="lowerLetter"/>
      <w:lvlText w:val="%8."/>
      <w:lvlJc w:val="left"/>
      <w:pPr>
        <w:ind w:left="7385" w:hanging="360"/>
      </w:pPr>
    </w:lvl>
    <w:lvl w:ilvl="8" w:tplc="0410001B" w:tentative="1">
      <w:start w:val="1"/>
      <w:numFmt w:val="lowerRoman"/>
      <w:lvlText w:val="%9."/>
      <w:lvlJc w:val="right"/>
      <w:pPr>
        <w:ind w:left="8105" w:hanging="180"/>
      </w:pPr>
    </w:lvl>
  </w:abstractNum>
  <w:abstractNum w:abstractNumId="20">
    <w:nsid w:val="589212EE"/>
    <w:multiLevelType w:val="hybridMultilevel"/>
    <w:tmpl w:val="4D54F07A"/>
    <w:lvl w:ilvl="0" w:tplc="3AFA0340">
      <w:start w:val="1"/>
      <w:numFmt w:val="lowerLetter"/>
      <w:lvlText w:val="(%1)"/>
      <w:lvlJc w:val="left"/>
      <w:pPr>
        <w:ind w:left="2345" w:hanging="360"/>
      </w:pPr>
      <w:rPr>
        <w:rFonts w:hint="default"/>
        <w:vertAlign w:val="superscript"/>
      </w:rPr>
    </w:lvl>
    <w:lvl w:ilvl="1" w:tplc="04100019" w:tentative="1">
      <w:start w:val="1"/>
      <w:numFmt w:val="lowerLetter"/>
      <w:lvlText w:val="%2."/>
      <w:lvlJc w:val="left"/>
      <w:pPr>
        <w:ind w:left="3065" w:hanging="360"/>
      </w:pPr>
    </w:lvl>
    <w:lvl w:ilvl="2" w:tplc="0410001B" w:tentative="1">
      <w:start w:val="1"/>
      <w:numFmt w:val="lowerRoman"/>
      <w:lvlText w:val="%3."/>
      <w:lvlJc w:val="right"/>
      <w:pPr>
        <w:ind w:left="3785" w:hanging="180"/>
      </w:pPr>
    </w:lvl>
    <w:lvl w:ilvl="3" w:tplc="0410000F" w:tentative="1">
      <w:start w:val="1"/>
      <w:numFmt w:val="decimal"/>
      <w:lvlText w:val="%4."/>
      <w:lvlJc w:val="left"/>
      <w:pPr>
        <w:ind w:left="4505" w:hanging="360"/>
      </w:pPr>
    </w:lvl>
    <w:lvl w:ilvl="4" w:tplc="04100019" w:tentative="1">
      <w:start w:val="1"/>
      <w:numFmt w:val="lowerLetter"/>
      <w:lvlText w:val="%5."/>
      <w:lvlJc w:val="left"/>
      <w:pPr>
        <w:ind w:left="5225" w:hanging="360"/>
      </w:pPr>
    </w:lvl>
    <w:lvl w:ilvl="5" w:tplc="0410001B" w:tentative="1">
      <w:start w:val="1"/>
      <w:numFmt w:val="lowerRoman"/>
      <w:lvlText w:val="%6."/>
      <w:lvlJc w:val="right"/>
      <w:pPr>
        <w:ind w:left="5945" w:hanging="180"/>
      </w:pPr>
    </w:lvl>
    <w:lvl w:ilvl="6" w:tplc="0410000F" w:tentative="1">
      <w:start w:val="1"/>
      <w:numFmt w:val="decimal"/>
      <w:lvlText w:val="%7."/>
      <w:lvlJc w:val="left"/>
      <w:pPr>
        <w:ind w:left="6665" w:hanging="360"/>
      </w:pPr>
    </w:lvl>
    <w:lvl w:ilvl="7" w:tplc="04100019" w:tentative="1">
      <w:start w:val="1"/>
      <w:numFmt w:val="lowerLetter"/>
      <w:lvlText w:val="%8."/>
      <w:lvlJc w:val="left"/>
      <w:pPr>
        <w:ind w:left="7385" w:hanging="360"/>
      </w:pPr>
    </w:lvl>
    <w:lvl w:ilvl="8" w:tplc="0410001B" w:tentative="1">
      <w:start w:val="1"/>
      <w:numFmt w:val="lowerRoman"/>
      <w:lvlText w:val="%9."/>
      <w:lvlJc w:val="right"/>
      <w:pPr>
        <w:ind w:left="8105" w:hanging="180"/>
      </w:pPr>
    </w:lvl>
  </w:abstractNum>
  <w:abstractNum w:abstractNumId="21">
    <w:nsid w:val="5C1020E1"/>
    <w:multiLevelType w:val="multilevel"/>
    <w:tmpl w:val="4B20980C"/>
    <w:lvl w:ilvl="0">
      <w:start w:val="1"/>
      <w:numFmt w:val="decimal"/>
      <w:pStyle w:val="00Titoloparagrnumerato"/>
      <w:lvlText w:val="%1."/>
      <w:lvlJc w:val="left"/>
      <w:pPr>
        <w:ind w:left="1778" w:hanging="360"/>
      </w:pPr>
      <w:rPr>
        <w:rFonts w:hint="default"/>
      </w:rPr>
    </w:lvl>
    <w:lvl w:ilvl="1">
      <w:start w:val="1"/>
      <w:numFmt w:val="decimal"/>
      <w:pStyle w:val="00Titolosottoparnumerato"/>
      <w:lvlText w:val="%1.%2."/>
      <w:lvlJc w:val="left"/>
      <w:pPr>
        <w:ind w:left="3694" w:hanging="432"/>
      </w:pPr>
    </w:lvl>
    <w:lvl w:ilvl="2">
      <w:start w:val="1"/>
      <w:numFmt w:val="decimal"/>
      <w:lvlText w:val="%1.%2.%3."/>
      <w:lvlJc w:val="left"/>
      <w:pPr>
        <w:ind w:left="2642" w:hanging="504"/>
      </w:pPr>
    </w:lvl>
    <w:lvl w:ilvl="3">
      <w:start w:val="1"/>
      <w:numFmt w:val="decimal"/>
      <w:lvlText w:val="%1.%2.%3.%4."/>
      <w:lvlJc w:val="left"/>
      <w:pPr>
        <w:ind w:left="3146" w:hanging="648"/>
      </w:pPr>
    </w:lvl>
    <w:lvl w:ilvl="4">
      <w:start w:val="1"/>
      <w:numFmt w:val="decimal"/>
      <w:lvlText w:val="%1.%2.%3.%4.%5."/>
      <w:lvlJc w:val="left"/>
      <w:pPr>
        <w:ind w:left="3650" w:hanging="792"/>
      </w:pPr>
    </w:lvl>
    <w:lvl w:ilvl="5">
      <w:start w:val="1"/>
      <w:numFmt w:val="decimal"/>
      <w:lvlText w:val="%1.%2.%3.%4.%5.%6."/>
      <w:lvlJc w:val="left"/>
      <w:pPr>
        <w:ind w:left="4154" w:hanging="936"/>
      </w:pPr>
    </w:lvl>
    <w:lvl w:ilvl="6">
      <w:start w:val="1"/>
      <w:numFmt w:val="decimal"/>
      <w:lvlText w:val="%1.%2.%3.%4.%5.%6.%7."/>
      <w:lvlJc w:val="left"/>
      <w:pPr>
        <w:ind w:left="4658" w:hanging="1080"/>
      </w:pPr>
    </w:lvl>
    <w:lvl w:ilvl="7">
      <w:start w:val="1"/>
      <w:numFmt w:val="decimal"/>
      <w:lvlText w:val="%1.%2.%3.%4.%5.%6.%7.%8."/>
      <w:lvlJc w:val="left"/>
      <w:pPr>
        <w:ind w:left="5162" w:hanging="1224"/>
      </w:pPr>
    </w:lvl>
    <w:lvl w:ilvl="8">
      <w:start w:val="1"/>
      <w:numFmt w:val="decimal"/>
      <w:lvlText w:val="%1.%2.%3.%4.%5.%6.%7.%8.%9."/>
      <w:lvlJc w:val="left"/>
      <w:pPr>
        <w:ind w:left="5738" w:hanging="1440"/>
      </w:pPr>
    </w:lvl>
  </w:abstractNum>
  <w:abstractNum w:abstractNumId="22">
    <w:nsid w:val="5CE51398"/>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6F80855"/>
    <w:multiLevelType w:val="multilevel"/>
    <w:tmpl w:val="2CE26776"/>
    <w:styleLink w:val="Ann06Testoelencoalfabetico"/>
    <w:lvl w:ilvl="0">
      <w:start w:val="1"/>
      <w:numFmt w:val="lowerLetter"/>
      <w:lvlText w:val="%1)"/>
      <w:lvlJc w:val="left"/>
      <w:pPr>
        <w:tabs>
          <w:tab w:val="num" w:pos="794"/>
        </w:tabs>
        <w:ind w:left="794" w:hanging="397"/>
      </w:pPr>
      <w:rPr>
        <w:rFonts w:ascii="Times New Roman" w:hAnsi="Times New Roman" w:hint="default"/>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nsid w:val="6A796152"/>
    <w:multiLevelType w:val="multilevel"/>
    <w:tmpl w:val="A9CA27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B58556E"/>
    <w:multiLevelType w:val="hybridMultilevel"/>
    <w:tmpl w:val="4D54F07A"/>
    <w:lvl w:ilvl="0" w:tplc="3AFA0340">
      <w:start w:val="1"/>
      <w:numFmt w:val="lowerLetter"/>
      <w:lvlText w:val="(%1)"/>
      <w:lvlJc w:val="left"/>
      <w:pPr>
        <w:ind w:left="2345" w:hanging="360"/>
      </w:pPr>
      <w:rPr>
        <w:rFonts w:hint="default"/>
        <w:vertAlign w:val="superscript"/>
      </w:rPr>
    </w:lvl>
    <w:lvl w:ilvl="1" w:tplc="04100019" w:tentative="1">
      <w:start w:val="1"/>
      <w:numFmt w:val="lowerLetter"/>
      <w:lvlText w:val="%2."/>
      <w:lvlJc w:val="left"/>
      <w:pPr>
        <w:ind w:left="3065" w:hanging="360"/>
      </w:pPr>
    </w:lvl>
    <w:lvl w:ilvl="2" w:tplc="0410001B" w:tentative="1">
      <w:start w:val="1"/>
      <w:numFmt w:val="lowerRoman"/>
      <w:lvlText w:val="%3."/>
      <w:lvlJc w:val="right"/>
      <w:pPr>
        <w:ind w:left="3785" w:hanging="180"/>
      </w:pPr>
    </w:lvl>
    <w:lvl w:ilvl="3" w:tplc="0410000F" w:tentative="1">
      <w:start w:val="1"/>
      <w:numFmt w:val="decimal"/>
      <w:lvlText w:val="%4."/>
      <w:lvlJc w:val="left"/>
      <w:pPr>
        <w:ind w:left="4505" w:hanging="360"/>
      </w:pPr>
    </w:lvl>
    <w:lvl w:ilvl="4" w:tplc="04100019" w:tentative="1">
      <w:start w:val="1"/>
      <w:numFmt w:val="lowerLetter"/>
      <w:lvlText w:val="%5."/>
      <w:lvlJc w:val="left"/>
      <w:pPr>
        <w:ind w:left="5225" w:hanging="360"/>
      </w:pPr>
    </w:lvl>
    <w:lvl w:ilvl="5" w:tplc="0410001B" w:tentative="1">
      <w:start w:val="1"/>
      <w:numFmt w:val="lowerRoman"/>
      <w:lvlText w:val="%6."/>
      <w:lvlJc w:val="right"/>
      <w:pPr>
        <w:ind w:left="5945" w:hanging="180"/>
      </w:pPr>
    </w:lvl>
    <w:lvl w:ilvl="6" w:tplc="0410000F" w:tentative="1">
      <w:start w:val="1"/>
      <w:numFmt w:val="decimal"/>
      <w:lvlText w:val="%7."/>
      <w:lvlJc w:val="left"/>
      <w:pPr>
        <w:ind w:left="6665" w:hanging="360"/>
      </w:pPr>
    </w:lvl>
    <w:lvl w:ilvl="7" w:tplc="04100019" w:tentative="1">
      <w:start w:val="1"/>
      <w:numFmt w:val="lowerLetter"/>
      <w:lvlText w:val="%8."/>
      <w:lvlJc w:val="left"/>
      <w:pPr>
        <w:ind w:left="7385" w:hanging="360"/>
      </w:pPr>
    </w:lvl>
    <w:lvl w:ilvl="8" w:tplc="0410001B" w:tentative="1">
      <w:start w:val="1"/>
      <w:numFmt w:val="lowerRoman"/>
      <w:lvlText w:val="%9."/>
      <w:lvlJc w:val="right"/>
      <w:pPr>
        <w:ind w:left="8105" w:hanging="180"/>
      </w:pPr>
    </w:lvl>
  </w:abstractNum>
  <w:abstractNum w:abstractNumId="26">
    <w:nsid w:val="7090013A"/>
    <w:multiLevelType w:val="hybridMultilevel"/>
    <w:tmpl w:val="5BB234B0"/>
    <w:lvl w:ilvl="0" w:tplc="0410000D">
      <w:start w:val="1"/>
      <w:numFmt w:val="bullet"/>
      <w:lvlText w:val=""/>
      <w:lvlJc w:val="left"/>
      <w:pPr>
        <w:ind w:left="1632" w:hanging="360"/>
      </w:pPr>
      <w:rPr>
        <w:rFonts w:ascii="Wingdings" w:hAnsi="Wingdings" w:hint="default"/>
      </w:rPr>
    </w:lvl>
    <w:lvl w:ilvl="1" w:tplc="04100003" w:tentative="1">
      <w:start w:val="1"/>
      <w:numFmt w:val="bullet"/>
      <w:lvlText w:val="o"/>
      <w:lvlJc w:val="left"/>
      <w:pPr>
        <w:ind w:left="2352" w:hanging="360"/>
      </w:pPr>
      <w:rPr>
        <w:rFonts w:ascii="Courier New" w:hAnsi="Courier New" w:cs="Courier New" w:hint="default"/>
      </w:rPr>
    </w:lvl>
    <w:lvl w:ilvl="2" w:tplc="04100005" w:tentative="1">
      <w:start w:val="1"/>
      <w:numFmt w:val="bullet"/>
      <w:lvlText w:val=""/>
      <w:lvlJc w:val="left"/>
      <w:pPr>
        <w:ind w:left="3072" w:hanging="360"/>
      </w:pPr>
      <w:rPr>
        <w:rFonts w:ascii="Wingdings" w:hAnsi="Wingdings" w:hint="default"/>
      </w:rPr>
    </w:lvl>
    <w:lvl w:ilvl="3" w:tplc="04100001" w:tentative="1">
      <w:start w:val="1"/>
      <w:numFmt w:val="bullet"/>
      <w:lvlText w:val=""/>
      <w:lvlJc w:val="left"/>
      <w:pPr>
        <w:ind w:left="3792" w:hanging="360"/>
      </w:pPr>
      <w:rPr>
        <w:rFonts w:ascii="Symbol" w:hAnsi="Symbol" w:hint="default"/>
      </w:rPr>
    </w:lvl>
    <w:lvl w:ilvl="4" w:tplc="04100003" w:tentative="1">
      <w:start w:val="1"/>
      <w:numFmt w:val="bullet"/>
      <w:lvlText w:val="o"/>
      <w:lvlJc w:val="left"/>
      <w:pPr>
        <w:ind w:left="4512" w:hanging="360"/>
      </w:pPr>
      <w:rPr>
        <w:rFonts w:ascii="Courier New" w:hAnsi="Courier New" w:cs="Courier New" w:hint="default"/>
      </w:rPr>
    </w:lvl>
    <w:lvl w:ilvl="5" w:tplc="04100005" w:tentative="1">
      <w:start w:val="1"/>
      <w:numFmt w:val="bullet"/>
      <w:lvlText w:val=""/>
      <w:lvlJc w:val="left"/>
      <w:pPr>
        <w:ind w:left="5232" w:hanging="360"/>
      </w:pPr>
      <w:rPr>
        <w:rFonts w:ascii="Wingdings" w:hAnsi="Wingdings" w:hint="default"/>
      </w:rPr>
    </w:lvl>
    <w:lvl w:ilvl="6" w:tplc="04100001" w:tentative="1">
      <w:start w:val="1"/>
      <w:numFmt w:val="bullet"/>
      <w:lvlText w:val=""/>
      <w:lvlJc w:val="left"/>
      <w:pPr>
        <w:ind w:left="5952" w:hanging="360"/>
      </w:pPr>
      <w:rPr>
        <w:rFonts w:ascii="Symbol" w:hAnsi="Symbol" w:hint="default"/>
      </w:rPr>
    </w:lvl>
    <w:lvl w:ilvl="7" w:tplc="04100003" w:tentative="1">
      <w:start w:val="1"/>
      <w:numFmt w:val="bullet"/>
      <w:lvlText w:val="o"/>
      <w:lvlJc w:val="left"/>
      <w:pPr>
        <w:ind w:left="6672" w:hanging="360"/>
      </w:pPr>
      <w:rPr>
        <w:rFonts w:ascii="Courier New" w:hAnsi="Courier New" w:cs="Courier New" w:hint="default"/>
      </w:rPr>
    </w:lvl>
    <w:lvl w:ilvl="8" w:tplc="04100005" w:tentative="1">
      <w:start w:val="1"/>
      <w:numFmt w:val="bullet"/>
      <w:lvlText w:val=""/>
      <w:lvlJc w:val="left"/>
      <w:pPr>
        <w:ind w:left="7392" w:hanging="360"/>
      </w:pPr>
      <w:rPr>
        <w:rFonts w:ascii="Wingdings" w:hAnsi="Wingdings" w:hint="default"/>
      </w:rPr>
    </w:lvl>
  </w:abstractNum>
  <w:abstractNum w:abstractNumId="27">
    <w:nsid w:val="7A4A4395"/>
    <w:multiLevelType w:val="hybridMultilevel"/>
    <w:tmpl w:val="8DD2154A"/>
    <w:lvl w:ilvl="0" w:tplc="0410000D">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num w:numId="1">
    <w:abstractNumId w:val="16"/>
  </w:num>
  <w:num w:numId="2">
    <w:abstractNumId w:val="23"/>
  </w:num>
  <w:num w:numId="3">
    <w:abstractNumId w:val="11"/>
  </w:num>
  <w:num w:numId="4">
    <w:abstractNumId w:val="0"/>
  </w:num>
  <w:num w:numId="5">
    <w:abstractNumId w:val="1"/>
  </w:num>
  <w:num w:numId="6">
    <w:abstractNumId w:val="21"/>
  </w:num>
  <w:num w:numId="7">
    <w:abstractNumId w:val="7"/>
  </w:num>
  <w:num w:numId="8">
    <w:abstractNumId w:val="20"/>
  </w:num>
  <w:num w:numId="9">
    <w:abstractNumId w:val="25"/>
  </w:num>
  <w:num w:numId="10">
    <w:abstractNumId w:val="19"/>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10"/>
  </w:num>
  <w:num w:numId="14">
    <w:abstractNumId w:val="17"/>
  </w:num>
  <w:num w:numId="15">
    <w:abstractNumId w:val="27"/>
  </w:num>
  <w:num w:numId="16">
    <w:abstractNumId w:val="27"/>
  </w:num>
  <w:num w:numId="17">
    <w:abstractNumId w:val="22"/>
  </w:num>
  <w:num w:numId="18">
    <w:abstractNumId w:val="12"/>
  </w:num>
  <w:num w:numId="19">
    <w:abstractNumId w:val="18"/>
  </w:num>
  <w:num w:numId="20">
    <w:abstractNumId w:val="14"/>
  </w:num>
  <w:num w:numId="21">
    <w:abstractNumId w:val="2"/>
  </w:num>
  <w:num w:numId="22">
    <w:abstractNumId w:val="6"/>
  </w:num>
  <w:num w:numId="23">
    <w:abstractNumId w:val="3"/>
  </w:num>
  <w:num w:numId="24">
    <w:abstractNumId w:val="4"/>
  </w:num>
  <w:num w:numId="25">
    <w:abstractNumId w:val="5"/>
  </w:num>
  <w:num w:numId="26">
    <w:abstractNumId w:val="13"/>
  </w:num>
  <w:num w:numId="27">
    <w:abstractNumId w:val="8"/>
  </w:num>
  <w:num w:numId="28">
    <w:abstractNumId w:val="26"/>
  </w:num>
  <w:num w:numId="29">
    <w:abstractNumId w:val="9"/>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15"/>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it-IT" w:vendorID="64" w:dllVersion="6" w:nlCheck="1" w:checkStyle="0"/>
  <w:activeWritingStyle w:appName="MSWord" w:lang="en-GB" w:vendorID="64" w:dllVersion="6" w:nlCheck="1" w:checkStyle="0"/>
  <w:activeWritingStyle w:appName="MSWord" w:lang="it-IT" w:vendorID="64" w:dllVersion="0" w:nlCheck="1" w:checkStyle="0"/>
  <w:activeWritingStyle w:appName="MSWord" w:lang="en-GB" w:vendorID="64" w:dllVersion="0" w:nlCheck="1" w:checkStyle="0"/>
  <w:stylePaneFormatFilter w:val="3F01"/>
  <w:defaultTabStop w:val="709"/>
  <w:hyphenationZone w:val="283"/>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FF1969"/>
    <w:rsid w:val="000003C9"/>
    <w:rsid w:val="00000DE6"/>
    <w:rsid w:val="0000116C"/>
    <w:rsid w:val="000011C5"/>
    <w:rsid w:val="00002435"/>
    <w:rsid w:val="00002614"/>
    <w:rsid w:val="00002922"/>
    <w:rsid w:val="00002A61"/>
    <w:rsid w:val="000030F5"/>
    <w:rsid w:val="0000326A"/>
    <w:rsid w:val="000037F1"/>
    <w:rsid w:val="0000403D"/>
    <w:rsid w:val="000040B8"/>
    <w:rsid w:val="000041E1"/>
    <w:rsid w:val="00004635"/>
    <w:rsid w:val="00004F0B"/>
    <w:rsid w:val="000051F4"/>
    <w:rsid w:val="00005F85"/>
    <w:rsid w:val="00006003"/>
    <w:rsid w:val="00006524"/>
    <w:rsid w:val="00006CED"/>
    <w:rsid w:val="0000755C"/>
    <w:rsid w:val="00007B66"/>
    <w:rsid w:val="00011848"/>
    <w:rsid w:val="00011C81"/>
    <w:rsid w:val="000125E3"/>
    <w:rsid w:val="0001267D"/>
    <w:rsid w:val="00012724"/>
    <w:rsid w:val="00012895"/>
    <w:rsid w:val="00012DB8"/>
    <w:rsid w:val="00013E73"/>
    <w:rsid w:val="0001411E"/>
    <w:rsid w:val="00015250"/>
    <w:rsid w:val="00015C82"/>
    <w:rsid w:val="0001704F"/>
    <w:rsid w:val="00017595"/>
    <w:rsid w:val="00017D4B"/>
    <w:rsid w:val="00017FA8"/>
    <w:rsid w:val="00020238"/>
    <w:rsid w:val="00020C53"/>
    <w:rsid w:val="00020E92"/>
    <w:rsid w:val="00021346"/>
    <w:rsid w:val="0002160C"/>
    <w:rsid w:val="00021EFB"/>
    <w:rsid w:val="000221F6"/>
    <w:rsid w:val="000226B3"/>
    <w:rsid w:val="00022809"/>
    <w:rsid w:val="00022E0C"/>
    <w:rsid w:val="00023302"/>
    <w:rsid w:val="00023484"/>
    <w:rsid w:val="000234B7"/>
    <w:rsid w:val="000239E2"/>
    <w:rsid w:val="00024F86"/>
    <w:rsid w:val="000264A7"/>
    <w:rsid w:val="0002743D"/>
    <w:rsid w:val="00027A66"/>
    <w:rsid w:val="000301D4"/>
    <w:rsid w:val="000309E0"/>
    <w:rsid w:val="0003132E"/>
    <w:rsid w:val="0003164A"/>
    <w:rsid w:val="00031A25"/>
    <w:rsid w:val="00031B49"/>
    <w:rsid w:val="0003345A"/>
    <w:rsid w:val="00035A52"/>
    <w:rsid w:val="000368AB"/>
    <w:rsid w:val="00037098"/>
    <w:rsid w:val="000379F3"/>
    <w:rsid w:val="0004036C"/>
    <w:rsid w:val="00040A3F"/>
    <w:rsid w:val="00040C60"/>
    <w:rsid w:val="00040DD7"/>
    <w:rsid w:val="000413C6"/>
    <w:rsid w:val="00041692"/>
    <w:rsid w:val="000417E6"/>
    <w:rsid w:val="00041D14"/>
    <w:rsid w:val="00042264"/>
    <w:rsid w:val="00042480"/>
    <w:rsid w:val="00044A59"/>
    <w:rsid w:val="00044DFC"/>
    <w:rsid w:val="00046042"/>
    <w:rsid w:val="00046858"/>
    <w:rsid w:val="0004732F"/>
    <w:rsid w:val="00047873"/>
    <w:rsid w:val="00047F02"/>
    <w:rsid w:val="0005142D"/>
    <w:rsid w:val="00051D1A"/>
    <w:rsid w:val="000531BF"/>
    <w:rsid w:val="000543B1"/>
    <w:rsid w:val="00054676"/>
    <w:rsid w:val="00055034"/>
    <w:rsid w:val="0005511D"/>
    <w:rsid w:val="00055B69"/>
    <w:rsid w:val="00055BF3"/>
    <w:rsid w:val="00057394"/>
    <w:rsid w:val="00057A47"/>
    <w:rsid w:val="00060D51"/>
    <w:rsid w:val="0006138E"/>
    <w:rsid w:val="00061774"/>
    <w:rsid w:val="000621A2"/>
    <w:rsid w:val="00062A2F"/>
    <w:rsid w:val="00062AC3"/>
    <w:rsid w:val="00062B20"/>
    <w:rsid w:val="00062C72"/>
    <w:rsid w:val="00062E75"/>
    <w:rsid w:val="00063940"/>
    <w:rsid w:val="0006428F"/>
    <w:rsid w:val="0006580F"/>
    <w:rsid w:val="00065B84"/>
    <w:rsid w:val="0006622B"/>
    <w:rsid w:val="00066278"/>
    <w:rsid w:val="00066472"/>
    <w:rsid w:val="00066BDD"/>
    <w:rsid w:val="00067BDE"/>
    <w:rsid w:val="00071152"/>
    <w:rsid w:val="000711AB"/>
    <w:rsid w:val="00072CF2"/>
    <w:rsid w:val="00072F3A"/>
    <w:rsid w:val="000736C9"/>
    <w:rsid w:val="0007491F"/>
    <w:rsid w:val="00074BBD"/>
    <w:rsid w:val="000755AC"/>
    <w:rsid w:val="00075ACB"/>
    <w:rsid w:val="00075D30"/>
    <w:rsid w:val="00075D8C"/>
    <w:rsid w:val="000760DD"/>
    <w:rsid w:val="000763AC"/>
    <w:rsid w:val="0007668A"/>
    <w:rsid w:val="000769C6"/>
    <w:rsid w:val="00076A51"/>
    <w:rsid w:val="00077434"/>
    <w:rsid w:val="00080CB8"/>
    <w:rsid w:val="000827EB"/>
    <w:rsid w:val="00083963"/>
    <w:rsid w:val="000853C6"/>
    <w:rsid w:val="00085583"/>
    <w:rsid w:val="00085A31"/>
    <w:rsid w:val="0008658A"/>
    <w:rsid w:val="00086CA3"/>
    <w:rsid w:val="00086CF0"/>
    <w:rsid w:val="000876F4"/>
    <w:rsid w:val="00090546"/>
    <w:rsid w:val="000910B3"/>
    <w:rsid w:val="000926AD"/>
    <w:rsid w:val="00092F0B"/>
    <w:rsid w:val="00092F18"/>
    <w:rsid w:val="00093E74"/>
    <w:rsid w:val="000946DA"/>
    <w:rsid w:val="00095560"/>
    <w:rsid w:val="00095953"/>
    <w:rsid w:val="00095C82"/>
    <w:rsid w:val="00096585"/>
    <w:rsid w:val="000966D0"/>
    <w:rsid w:val="000966D2"/>
    <w:rsid w:val="0009672A"/>
    <w:rsid w:val="000969E3"/>
    <w:rsid w:val="00097E11"/>
    <w:rsid w:val="000A0813"/>
    <w:rsid w:val="000A1AFB"/>
    <w:rsid w:val="000A205D"/>
    <w:rsid w:val="000A23B4"/>
    <w:rsid w:val="000A2603"/>
    <w:rsid w:val="000A3016"/>
    <w:rsid w:val="000A313B"/>
    <w:rsid w:val="000A329C"/>
    <w:rsid w:val="000A3352"/>
    <w:rsid w:val="000A33A1"/>
    <w:rsid w:val="000A3921"/>
    <w:rsid w:val="000A3BD6"/>
    <w:rsid w:val="000A42EE"/>
    <w:rsid w:val="000A57EB"/>
    <w:rsid w:val="000A598D"/>
    <w:rsid w:val="000A5A87"/>
    <w:rsid w:val="000A5AB0"/>
    <w:rsid w:val="000A65D6"/>
    <w:rsid w:val="000A6767"/>
    <w:rsid w:val="000A6AE2"/>
    <w:rsid w:val="000A6F81"/>
    <w:rsid w:val="000A7767"/>
    <w:rsid w:val="000A7E3F"/>
    <w:rsid w:val="000B0741"/>
    <w:rsid w:val="000B08AB"/>
    <w:rsid w:val="000B0DAF"/>
    <w:rsid w:val="000B1658"/>
    <w:rsid w:val="000B2456"/>
    <w:rsid w:val="000B25DE"/>
    <w:rsid w:val="000B289F"/>
    <w:rsid w:val="000B30B7"/>
    <w:rsid w:val="000B3280"/>
    <w:rsid w:val="000B34C2"/>
    <w:rsid w:val="000B4861"/>
    <w:rsid w:val="000B4A31"/>
    <w:rsid w:val="000B5618"/>
    <w:rsid w:val="000B5E74"/>
    <w:rsid w:val="000B6317"/>
    <w:rsid w:val="000B66E4"/>
    <w:rsid w:val="000B7B7B"/>
    <w:rsid w:val="000C0086"/>
    <w:rsid w:val="000C024E"/>
    <w:rsid w:val="000C0528"/>
    <w:rsid w:val="000C0DF8"/>
    <w:rsid w:val="000C11D6"/>
    <w:rsid w:val="000C121E"/>
    <w:rsid w:val="000C13AF"/>
    <w:rsid w:val="000C1C82"/>
    <w:rsid w:val="000C222D"/>
    <w:rsid w:val="000C42CC"/>
    <w:rsid w:val="000C4327"/>
    <w:rsid w:val="000C4A81"/>
    <w:rsid w:val="000C4F90"/>
    <w:rsid w:val="000C523A"/>
    <w:rsid w:val="000C772A"/>
    <w:rsid w:val="000C7F32"/>
    <w:rsid w:val="000D072C"/>
    <w:rsid w:val="000D0F8E"/>
    <w:rsid w:val="000D150A"/>
    <w:rsid w:val="000D1758"/>
    <w:rsid w:val="000D1B3E"/>
    <w:rsid w:val="000D289A"/>
    <w:rsid w:val="000D28C8"/>
    <w:rsid w:val="000D31D9"/>
    <w:rsid w:val="000D3FD0"/>
    <w:rsid w:val="000D478F"/>
    <w:rsid w:val="000D4B82"/>
    <w:rsid w:val="000D4F23"/>
    <w:rsid w:val="000D5745"/>
    <w:rsid w:val="000D5768"/>
    <w:rsid w:val="000D5F47"/>
    <w:rsid w:val="000D682D"/>
    <w:rsid w:val="000D6D4C"/>
    <w:rsid w:val="000D777A"/>
    <w:rsid w:val="000D7B9A"/>
    <w:rsid w:val="000E07E0"/>
    <w:rsid w:val="000E0867"/>
    <w:rsid w:val="000E20E7"/>
    <w:rsid w:val="000E28D6"/>
    <w:rsid w:val="000E3B22"/>
    <w:rsid w:val="000E4AD7"/>
    <w:rsid w:val="000E610C"/>
    <w:rsid w:val="000E65F1"/>
    <w:rsid w:val="000E69AD"/>
    <w:rsid w:val="000E74DA"/>
    <w:rsid w:val="000E7527"/>
    <w:rsid w:val="000E773C"/>
    <w:rsid w:val="000E7781"/>
    <w:rsid w:val="000F0677"/>
    <w:rsid w:val="000F0D04"/>
    <w:rsid w:val="000F0DE8"/>
    <w:rsid w:val="000F183C"/>
    <w:rsid w:val="000F225D"/>
    <w:rsid w:val="000F3035"/>
    <w:rsid w:val="000F35AC"/>
    <w:rsid w:val="000F4030"/>
    <w:rsid w:val="000F4131"/>
    <w:rsid w:val="000F44BE"/>
    <w:rsid w:val="000F5639"/>
    <w:rsid w:val="000F6320"/>
    <w:rsid w:val="000F6A22"/>
    <w:rsid w:val="000F6BD4"/>
    <w:rsid w:val="000F7247"/>
    <w:rsid w:val="000F7CA5"/>
    <w:rsid w:val="000F7CC5"/>
    <w:rsid w:val="00100AAE"/>
    <w:rsid w:val="00100C8C"/>
    <w:rsid w:val="00102224"/>
    <w:rsid w:val="00103179"/>
    <w:rsid w:val="0010371E"/>
    <w:rsid w:val="00103D49"/>
    <w:rsid w:val="00104ABF"/>
    <w:rsid w:val="0010574D"/>
    <w:rsid w:val="001057BE"/>
    <w:rsid w:val="00106021"/>
    <w:rsid w:val="001065AE"/>
    <w:rsid w:val="00106668"/>
    <w:rsid w:val="0010707E"/>
    <w:rsid w:val="00107A5A"/>
    <w:rsid w:val="00110309"/>
    <w:rsid w:val="00110BBC"/>
    <w:rsid w:val="0011181F"/>
    <w:rsid w:val="00111845"/>
    <w:rsid w:val="00112985"/>
    <w:rsid w:val="00113439"/>
    <w:rsid w:val="001139C7"/>
    <w:rsid w:val="00115D6A"/>
    <w:rsid w:val="00115EBC"/>
    <w:rsid w:val="0011669B"/>
    <w:rsid w:val="00116F41"/>
    <w:rsid w:val="00117832"/>
    <w:rsid w:val="00117A62"/>
    <w:rsid w:val="00117F80"/>
    <w:rsid w:val="001204AE"/>
    <w:rsid w:val="001205B8"/>
    <w:rsid w:val="001209B7"/>
    <w:rsid w:val="0012134C"/>
    <w:rsid w:val="001215BC"/>
    <w:rsid w:val="00121BFC"/>
    <w:rsid w:val="00121DB7"/>
    <w:rsid w:val="00122115"/>
    <w:rsid w:val="0012212C"/>
    <w:rsid w:val="00122951"/>
    <w:rsid w:val="00122B58"/>
    <w:rsid w:val="00122FCD"/>
    <w:rsid w:val="001232D0"/>
    <w:rsid w:val="0012362F"/>
    <w:rsid w:val="00123B21"/>
    <w:rsid w:val="0012406F"/>
    <w:rsid w:val="00124A6C"/>
    <w:rsid w:val="00124EA0"/>
    <w:rsid w:val="00125566"/>
    <w:rsid w:val="0012602C"/>
    <w:rsid w:val="0012614D"/>
    <w:rsid w:val="0012668F"/>
    <w:rsid w:val="00126919"/>
    <w:rsid w:val="00127E3F"/>
    <w:rsid w:val="00127EC0"/>
    <w:rsid w:val="00127F85"/>
    <w:rsid w:val="00130095"/>
    <w:rsid w:val="00130127"/>
    <w:rsid w:val="00131982"/>
    <w:rsid w:val="00131B7F"/>
    <w:rsid w:val="001322AF"/>
    <w:rsid w:val="00132D98"/>
    <w:rsid w:val="00134118"/>
    <w:rsid w:val="0013413B"/>
    <w:rsid w:val="0013445F"/>
    <w:rsid w:val="0013537E"/>
    <w:rsid w:val="0013576D"/>
    <w:rsid w:val="00135791"/>
    <w:rsid w:val="00136D64"/>
    <w:rsid w:val="001373B4"/>
    <w:rsid w:val="0013753C"/>
    <w:rsid w:val="0014039E"/>
    <w:rsid w:val="001410AD"/>
    <w:rsid w:val="001411BC"/>
    <w:rsid w:val="001412DE"/>
    <w:rsid w:val="00141B34"/>
    <w:rsid w:val="00142377"/>
    <w:rsid w:val="0014258C"/>
    <w:rsid w:val="001425FF"/>
    <w:rsid w:val="0014284F"/>
    <w:rsid w:val="00142CEE"/>
    <w:rsid w:val="00143210"/>
    <w:rsid w:val="0014380D"/>
    <w:rsid w:val="00143D92"/>
    <w:rsid w:val="00144384"/>
    <w:rsid w:val="00144953"/>
    <w:rsid w:val="001449D9"/>
    <w:rsid w:val="001454E1"/>
    <w:rsid w:val="00145D52"/>
    <w:rsid w:val="001462DF"/>
    <w:rsid w:val="0014654F"/>
    <w:rsid w:val="001467BF"/>
    <w:rsid w:val="0014762F"/>
    <w:rsid w:val="00147C7C"/>
    <w:rsid w:val="00147EE4"/>
    <w:rsid w:val="0015001C"/>
    <w:rsid w:val="001507FB"/>
    <w:rsid w:val="001509FA"/>
    <w:rsid w:val="00150E01"/>
    <w:rsid w:val="001510C9"/>
    <w:rsid w:val="00153499"/>
    <w:rsid w:val="00155291"/>
    <w:rsid w:val="00155359"/>
    <w:rsid w:val="001556F0"/>
    <w:rsid w:val="00156A14"/>
    <w:rsid w:val="00157A5E"/>
    <w:rsid w:val="00157AB1"/>
    <w:rsid w:val="001606AB"/>
    <w:rsid w:val="00160A06"/>
    <w:rsid w:val="00160CD7"/>
    <w:rsid w:val="00161574"/>
    <w:rsid w:val="0016168B"/>
    <w:rsid w:val="0016217E"/>
    <w:rsid w:val="0016245C"/>
    <w:rsid w:val="0016246D"/>
    <w:rsid w:val="0016353E"/>
    <w:rsid w:val="001636BA"/>
    <w:rsid w:val="001639BC"/>
    <w:rsid w:val="00165E97"/>
    <w:rsid w:val="00165FC5"/>
    <w:rsid w:val="0016622F"/>
    <w:rsid w:val="0016641C"/>
    <w:rsid w:val="00166EBE"/>
    <w:rsid w:val="0016706D"/>
    <w:rsid w:val="001671F8"/>
    <w:rsid w:val="0016779C"/>
    <w:rsid w:val="0017045D"/>
    <w:rsid w:val="001708ED"/>
    <w:rsid w:val="00171407"/>
    <w:rsid w:val="0017337D"/>
    <w:rsid w:val="00173913"/>
    <w:rsid w:val="00174256"/>
    <w:rsid w:val="0017437A"/>
    <w:rsid w:val="00174FAA"/>
    <w:rsid w:val="00175C3A"/>
    <w:rsid w:val="00175F2A"/>
    <w:rsid w:val="00176425"/>
    <w:rsid w:val="00176864"/>
    <w:rsid w:val="001779E2"/>
    <w:rsid w:val="00180510"/>
    <w:rsid w:val="00180612"/>
    <w:rsid w:val="00180E2D"/>
    <w:rsid w:val="0018123A"/>
    <w:rsid w:val="00181407"/>
    <w:rsid w:val="00181C73"/>
    <w:rsid w:val="001824A1"/>
    <w:rsid w:val="00182598"/>
    <w:rsid w:val="00182623"/>
    <w:rsid w:val="00182C27"/>
    <w:rsid w:val="00182EB3"/>
    <w:rsid w:val="00182EF9"/>
    <w:rsid w:val="0018329D"/>
    <w:rsid w:val="00183453"/>
    <w:rsid w:val="00183CE1"/>
    <w:rsid w:val="00183DA6"/>
    <w:rsid w:val="001847B2"/>
    <w:rsid w:val="00184E92"/>
    <w:rsid w:val="0018541B"/>
    <w:rsid w:val="00185F2C"/>
    <w:rsid w:val="001875BF"/>
    <w:rsid w:val="00190433"/>
    <w:rsid w:val="00190837"/>
    <w:rsid w:val="00191211"/>
    <w:rsid w:val="0019166E"/>
    <w:rsid w:val="00191F41"/>
    <w:rsid w:val="001921C2"/>
    <w:rsid w:val="001925B7"/>
    <w:rsid w:val="00192815"/>
    <w:rsid w:val="00192B30"/>
    <w:rsid w:val="00192C95"/>
    <w:rsid w:val="001940F3"/>
    <w:rsid w:val="00194752"/>
    <w:rsid w:val="00195562"/>
    <w:rsid w:val="001958E9"/>
    <w:rsid w:val="001961B4"/>
    <w:rsid w:val="00196250"/>
    <w:rsid w:val="0019625F"/>
    <w:rsid w:val="001966F9"/>
    <w:rsid w:val="001A04C4"/>
    <w:rsid w:val="001A092A"/>
    <w:rsid w:val="001A0D13"/>
    <w:rsid w:val="001A120C"/>
    <w:rsid w:val="001A1289"/>
    <w:rsid w:val="001A1B10"/>
    <w:rsid w:val="001A1CC3"/>
    <w:rsid w:val="001A1E2F"/>
    <w:rsid w:val="001A23E5"/>
    <w:rsid w:val="001A2486"/>
    <w:rsid w:val="001A25C8"/>
    <w:rsid w:val="001A2D95"/>
    <w:rsid w:val="001A3152"/>
    <w:rsid w:val="001A3412"/>
    <w:rsid w:val="001A3739"/>
    <w:rsid w:val="001A417E"/>
    <w:rsid w:val="001A4322"/>
    <w:rsid w:val="001A4BF0"/>
    <w:rsid w:val="001A587A"/>
    <w:rsid w:val="001A606F"/>
    <w:rsid w:val="001A6091"/>
    <w:rsid w:val="001A61E6"/>
    <w:rsid w:val="001A7137"/>
    <w:rsid w:val="001A7B7A"/>
    <w:rsid w:val="001A7E4C"/>
    <w:rsid w:val="001B00B4"/>
    <w:rsid w:val="001B2516"/>
    <w:rsid w:val="001B27A6"/>
    <w:rsid w:val="001B2B56"/>
    <w:rsid w:val="001B2BDC"/>
    <w:rsid w:val="001B2E96"/>
    <w:rsid w:val="001B32BD"/>
    <w:rsid w:val="001B3348"/>
    <w:rsid w:val="001B3554"/>
    <w:rsid w:val="001B36FC"/>
    <w:rsid w:val="001B4FC9"/>
    <w:rsid w:val="001B53D0"/>
    <w:rsid w:val="001B5D1B"/>
    <w:rsid w:val="001B60CE"/>
    <w:rsid w:val="001B6B85"/>
    <w:rsid w:val="001B7135"/>
    <w:rsid w:val="001B768B"/>
    <w:rsid w:val="001C0C96"/>
    <w:rsid w:val="001C0DBB"/>
    <w:rsid w:val="001C1533"/>
    <w:rsid w:val="001C1593"/>
    <w:rsid w:val="001C1CC9"/>
    <w:rsid w:val="001C23C4"/>
    <w:rsid w:val="001C2733"/>
    <w:rsid w:val="001C2BC0"/>
    <w:rsid w:val="001C2F0B"/>
    <w:rsid w:val="001C3A0F"/>
    <w:rsid w:val="001C3F32"/>
    <w:rsid w:val="001C482D"/>
    <w:rsid w:val="001C49A0"/>
    <w:rsid w:val="001C49C0"/>
    <w:rsid w:val="001C4AB0"/>
    <w:rsid w:val="001C4AF3"/>
    <w:rsid w:val="001C5604"/>
    <w:rsid w:val="001C587F"/>
    <w:rsid w:val="001C591E"/>
    <w:rsid w:val="001C5A69"/>
    <w:rsid w:val="001C6CA6"/>
    <w:rsid w:val="001C7248"/>
    <w:rsid w:val="001C766E"/>
    <w:rsid w:val="001D0D0C"/>
    <w:rsid w:val="001D0F13"/>
    <w:rsid w:val="001D1D6D"/>
    <w:rsid w:val="001D2468"/>
    <w:rsid w:val="001D2A62"/>
    <w:rsid w:val="001D3B72"/>
    <w:rsid w:val="001D4247"/>
    <w:rsid w:val="001D48A3"/>
    <w:rsid w:val="001D554F"/>
    <w:rsid w:val="001D6572"/>
    <w:rsid w:val="001D6A64"/>
    <w:rsid w:val="001E065B"/>
    <w:rsid w:val="001E0DB2"/>
    <w:rsid w:val="001E267F"/>
    <w:rsid w:val="001E30ED"/>
    <w:rsid w:val="001E3688"/>
    <w:rsid w:val="001E36F3"/>
    <w:rsid w:val="001E4049"/>
    <w:rsid w:val="001E4511"/>
    <w:rsid w:val="001E4BB6"/>
    <w:rsid w:val="001E4C12"/>
    <w:rsid w:val="001E4E8A"/>
    <w:rsid w:val="001E4F43"/>
    <w:rsid w:val="001E5340"/>
    <w:rsid w:val="001E6116"/>
    <w:rsid w:val="001E6346"/>
    <w:rsid w:val="001E6EEB"/>
    <w:rsid w:val="001E74DF"/>
    <w:rsid w:val="001E7EC2"/>
    <w:rsid w:val="001F0878"/>
    <w:rsid w:val="001F0B11"/>
    <w:rsid w:val="001F10FF"/>
    <w:rsid w:val="001F2815"/>
    <w:rsid w:val="001F29D2"/>
    <w:rsid w:val="001F31ED"/>
    <w:rsid w:val="001F4E04"/>
    <w:rsid w:val="001F51FE"/>
    <w:rsid w:val="001F66FD"/>
    <w:rsid w:val="001F689F"/>
    <w:rsid w:val="001F6DF2"/>
    <w:rsid w:val="002001A8"/>
    <w:rsid w:val="002005E9"/>
    <w:rsid w:val="00200B31"/>
    <w:rsid w:val="00200E92"/>
    <w:rsid w:val="002014A0"/>
    <w:rsid w:val="00201FF2"/>
    <w:rsid w:val="002026F2"/>
    <w:rsid w:val="002029E9"/>
    <w:rsid w:val="00202A0D"/>
    <w:rsid w:val="00202BD9"/>
    <w:rsid w:val="00203912"/>
    <w:rsid w:val="00203D0B"/>
    <w:rsid w:val="00203E97"/>
    <w:rsid w:val="002043CE"/>
    <w:rsid w:val="00204DFE"/>
    <w:rsid w:val="00206F1B"/>
    <w:rsid w:val="0020741C"/>
    <w:rsid w:val="0021093C"/>
    <w:rsid w:val="00210E30"/>
    <w:rsid w:val="002110CA"/>
    <w:rsid w:val="00211991"/>
    <w:rsid w:val="00211E74"/>
    <w:rsid w:val="00212041"/>
    <w:rsid w:val="00212606"/>
    <w:rsid w:val="00213271"/>
    <w:rsid w:val="002135C9"/>
    <w:rsid w:val="002139F3"/>
    <w:rsid w:val="00213AD7"/>
    <w:rsid w:val="0021437F"/>
    <w:rsid w:val="00214633"/>
    <w:rsid w:val="0021490C"/>
    <w:rsid w:val="00214BC8"/>
    <w:rsid w:val="00214C52"/>
    <w:rsid w:val="00214F0C"/>
    <w:rsid w:val="002159EA"/>
    <w:rsid w:val="00216020"/>
    <w:rsid w:val="00217121"/>
    <w:rsid w:val="002174A0"/>
    <w:rsid w:val="0021782A"/>
    <w:rsid w:val="00217F66"/>
    <w:rsid w:val="002203C1"/>
    <w:rsid w:val="0022053F"/>
    <w:rsid w:val="002206BA"/>
    <w:rsid w:val="00221237"/>
    <w:rsid w:val="00221CDE"/>
    <w:rsid w:val="00222A64"/>
    <w:rsid w:val="00222A76"/>
    <w:rsid w:val="0022336E"/>
    <w:rsid w:val="00223DE7"/>
    <w:rsid w:val="002245A1"/>
    <w:rsid w:val="00224D53"/>
    <w:rsid w:val="00224DC4"/>
    <w:rsid w:val="002258F2"/>
    <w:rsid w:val="00226E23"/>
    <w:rsid w:val="00226E35"/>
    <w:rsid w:val="0023036C"/>
    <w:rsid w:val="002306C4"/>
    <w:rsid w:val="0023273E"/>
    <w:rsid w:val="002329EB"/>
    <w:rsid w:val="00232EE9"/>
    <w:rsid w:val="0023472B"/>
    <w:rsid w:val="00234761"/>
    <w:rsid w:val="00234872"/>
    <w:rsid w:val="0023599F"/>
    <w:rsid w:val="00237362"/>
    <w:rsid w:val="00237437"/>
    <w:rsid w:val="00237A6A"/>
    <w:rsid w:val="00237F3A"/>
    <w:rsid w:val="002406CF"/>
    <w:rsid w:val="00240733"/>
    <w:rsid w:val="00240996"/>
    <w:rsid w:val="0024144F"/>
    <w:rsid w:val="00241C04"/>
    <w:rsid w:val="002420CD"/>
    <w:rsid w:val="00242E3A"/>
    <w:rsid w:val="00242F70"/>
    <w:rsid w:val="00243689"/>
    <w:rsid w:val="00243954"/>
    <w:rsid w:val="00243B64"/>
    <w:rsid w:val="0024412A"/>
    <w:rsid w:val="002445BA"/>
    <w:rsid w:val="00244684"/>
    <w:rsid w:val="00244AB5"/>
    <w:rsid w:val="00244BEE"/>
    <w:rsid w:val="00245ECE"/>
    <w:rsid w:val="0024698A"/>
    <w:rsid w:val="00246AB7"/>
    <w:rsid w:val="0024737D"/>
    <w:rsid w:val="00251AAA"/>
    <w:rsid w:val="00252150"/>
    <w:rsid w:val="002548B6"/>
    <w:rsid w:val="00255344"/>
    <w:rsid w:val="00255DFE"/>
    <w:rsid w:val="00255FB4"/>
    <w:rsid w:val="0025686E"/>
    <w:rsid w:val="00257294"/>
    <w:rsid w:val="002577CA"/>
    <w:rsid w:val="00257ABB"/>
    <w:rsid w:val="002611C0"/>
    <w:rsid w:val="002616CA"/>
    <w:rsid w:val="00261A91"/>
    <w:rsid w:val="00261D8D"/>
    <w:rsid w:val="00261FEB"/>
    <w:rsid w:val="00262540"/>
    <w:rsid w:val="00262926"/>
    <w:rsid w:val="0026296A"/>
    <w:rsid w:val="00262EA3"/>
    <w:rsid w:val="00263DF9"/>
    <w:rsid w:val="002655BB"/>
    <w:rsid w:val="002661A3"/>
    <w:rsid w:val="00266715"/>
    <w:rsid w:val="00266B69"/>
    <w:rsid w:val="002675CF"/>
    <w:rsid w:val="0027008D"/>
    <w:rsid w:val="00270611"/>
    <w:rsid w:val="002716C5"/>
    <w:rsid w:val="002727BF"/>
    <w:rsid w:val="00272EA3"/>
    <w:rsid w:val="00273C76"/>
    <w:rsid w:val="00273FBA"/>
    <w:rsid w:val="00274150"/>
    <w:rsid w:val="00274297"/>
    <w:rsid w:val="0027458B"/>
    <w:rsid w:val="00275474"/>
    <w:rsid w:val="00275956"/>
    <w:rsid w:val="00275C93"/>
    <w:rsid w:val="0027600F"/>
    <w:rsid w:val="002763F7"/>
    <w:rsid w:val="00277511"/>
    <w:rsid w:val="0027751D"/>
    <w:rsid w:val="0027779D"/>
    <w:rsid w:val="00277D09"/>
    <w:rsid w:val="002817A4"/>
    <w:rsid w:val="00282F17"/>
    <w:rsid w:val="00283393"/>
    <w:rsid w:val="002833E4"/>
    <w:rsid w:val="00283D7B"/>
    <w:rsid w:val="00284D0D"/>
    <w:rsid w:val="00284E53"/>
    <w:rsid w:val="0028607E"/>
    <w:rsid w:val="00286B1A"/>
    <w:rsid w:val="00286E27"/>
    <w:rsid w:val="00287306"/>
    <w:rsid w:val="00290387"/>
    <w:rsid w:val="0029038A"/>
    <w:rsid w:val="002903E1"/>
    <w:rsid w:val="002908E9"/>
    <w:rsid w:val="002914F1"/>
    <w:rsid w:val="00291547"/>
    <w:rsid w:val="002923E6"/>
    <w:rsid w:val="002924EC"/>
    <w:rsid w:val="00292DC1"/>
    <w:rsid w:val="00293897"/>
    <w:rsid w:val="00293C55"/>
    <w:rsid w:val="00293C76"/>
    <w:rsid w:val="002948CB"/>
    <w:rsid w:val="00294EB1"/>
    <w:rsid w:val="0029558A"/>
    <w:rsid w:val="00295769"/>
    <w:rsid w:val="00295F92"/>
    <w:rsid w:val="00296CA8"/>
    <w:rsid w:val="002A026B"/>
    <w:rsid w:val="002A0AF3"/>
    <w:rsid w:val="002A106B"/>
    <w:rsid w:val="002A111F"/>
    <w:rsid w:val="002A248F"/>
    <w:rsid w:val="002A397C"/>
    <w:rsid w:val="002A3B6A"/>
    <w:rsid w:val="002A3C2E"/>
    <w:rsid w:val="002A454E"/>
    <w:rsid w:val="002A5316"/>
    <w:rsid w:val="002A5348"/>
    <w:rsid w:val="002A53A9"/>
    <w:rsid w:val="002A54C7"/>
    <w:rsid w:val="002A61CF"/>
    <w:rsid w:val="002A6271"/>
    <w:rsid w:val="002A6992"/>
    <w:rsid w:val="002B0332"/>
    <w:rsid w:val="002B03A1"/>
    <w:rsid w:val="002B066C"/>
    <w:rsid w:val="002B09F3"/>
    <w:rsid w:val="002B0A21"/>
    <w:rsid w:val="002B0CB4"/>
    <w:rsid w:val="002B13EC"/>
    <w:rsid w:val="002B170B"/>
    <w:rsid w:val="002B1E2B"/>
    <w:rsid w:val="002B26CE"/>
    <w:rsid w:val="002B284F"/>
    <w:rsid w:val="002B2C92"/>
    <w:rsid w:val="002B3BC9"/>
    <w:rsid w:val="002B41B9"/>
    <w:rsid w:val="002B493C"/>
    <w:rsid w:val="002B4A7D"/>
    <w:rsid w:val="002B5454"/>
    <w:rsid w:val="002B5627"/>
    <w:rsid w:val="002B5719"/>
    <w:rsid w:val="002B5BD5"/>
    <w:rsid w:val="002B6FB2"/>
    <w:rsid w:val="002B787C"/>
    <w:rsid w:val="002B7B0E"/>
    <w:rsid w:val="002C0504"/>
    <w:rsid w:val="002C066A"/>
    <w:rsid w:val="002C1403"/>
    <w:rsid w:val="002C1D88"/>
    <w:rsid w:val="002C1E32"/>
    <w:rsid w:val="002C1F94"/>
    <w:rsid w:val="002C3882"/>
    <w:rsid w:val="002C3FEF"/>
    <w:rsid w:val="002C4DB2"/>
    <w:rsid w:val="002C56ED"/>
    <w:rsid w:val="002C57DC"/>
    <w:rsid w:val="002C6097"/>
    <w:rsid w:val="002C6272"/>
    <w:rsid w:val="002C6D10"/>
    <w:rsid w:val="002C781A"/>
    <w:rsid w:val="002D03AA"/>
    <w:rsid w:val="002D0CA3"/>
    <w:rsid w:val="002D1F33"/>
    <w:rsid w:val="002D22F7"/>
    <w:rsid w:val="002D2B9F"/>
    <w:rsid w:val="002D3944"/>
    <w:rsid w:val="002D436A"/>
    <w:rsid w:val="002D4A13"/>
    <w:rsid w:val="002D6303"/>
    <w:rsid w:val="002D66A5"/>
    <w:rsid w:val="002D6D16"/>
    <w:rsid w:val="002D71E2"/>
    <w:rsid w:val="002D737A"/>
    <w:rsid w:val="002D75B8"/>
    <w:rsid w:val="002E00EA"/>
    <w:rsid w:val="002E05F6"/>
    <w:rsid w:val="002E06AA"/>
    <w:rsid w:val="002E0EC2"/>
    <w:rsid w:val="002E1C1B"/>
    <w:rsid w:val="002E2188"/>
    <w:rsid w:val="002E2E62"/>
    <w:rsid w:val="002E31EC"/>
    <w:rsid w:val="002E349B"/>
    <w:rsid w:val="002E373C"/>
    <w:rsid w:val="002E3FB0"/>
    <w:rsid w:val="002E5113"/>
    <w:rsid w:val="002E529A"/>
    <w:rsid w:val="002E56D3"/>
    <w:rsid w:val="002E5811"/>
    <w:rsid w:val="002E5A87"/>
    <w:rsid w:val="002E6A64"/>
    <w:rsid w:val="002E7A77"/>
    <w:rsid w:val="002E7DC4"/>
    <w:rsid w:val="002F0270"/>
    <w:rsid w:val="002F0D8B"/>
    <w:rsid w:val="002F1BB1"/>
    <w:rsid w:val="002F22AC"/>
    <w:rsid w:val="002F2439"/>
    <w:rsid w:val="002F311B"/>
    <w:rsid w:val="002F371B"/>
    <w:rsid w:val="002F41E9"/>
    <w:rsid w:val="002F6311"/>
    <w:rsid w:val="002F6732"/>
    <w:rsid w:val="002F712F"/>
    <w:rsid w:val="002F7166"/>
    <w:rsid w:val="002F7CB5"/>
    <w:rsid w:val="003011D1"/>
    <w:rsid w:val="0030164D"/>
    <w:rsid w:val="00302060"/>
    <w:rsid w:val="0030210A"/>
    <w:rsid w:val="003026C6"/>
    <w:rsid w:val="0030298E"/>
    <w:rsid w:val="0030304A"/>
    <w:rsid w:val="003031EC"/>
    <w:rsid w:val="00303874"/>
    <w:rsid w:val="00303FEF"/>
    <w:rsid w:val="003048FB"/>
    <w:rsid w:val="00304BDF"/>
    <w:rsid w:val="0030530D"/>
    <w:rsid w:val="00305593"/>
    <w:rsid w:val="00305ABE"/>
    <w:rsid w:val="00305D10"/>
    <w:rsid w:val="003061E1"/>
    <w:rsid w:val="0030736F"/>
    <w:rsid w:val="00310BDF"/>
    <w:rsid w:val="003113F5"/>
    <w:rsid w:val="00311858"/>
    <w:rsid w:val="0031229F"/>
    <w:rsid w:val="0031244C"/>
    <w:rsid w:val="00312584"/>
    <w:rsid w:val="00312726"/>
    <w:rsid w:val="003134DF"/>
    <w:rsid w:val="00314A23"/>
    <w:rsid w:val="00314A70"/>
    <w:rsid w:val="0031605B"/>
    <w:rsid w:val="00316D04"/>
    <w:rsid w:val="00317246"/>
    <w:rsid w:val="00317526"/>
    <w:rsid w:val="00317BA5"/>
    <w:rsid w:val="0032019D"/>
    <w:rsid w:val="00320DA6"/>
    <w:rsid w:val="00320EDF"/>
    <w:rsid w:val="003228B6"/>
    <w:rsid w:val="00322E2D"/>
    <w:rsid w:val="00322EED"/>
    <w:rsid w:val="00322F8C"/>
    <w:rsid w:val="003232EC"/>
    <w:rsid w:val="00324919"/>
    <w:rsid w:val="00324EC4"/>
    <w:rsid w:val="003250DE"/>
    <w:rsid w:val="00325116"/>
    <w:rsid w:val="00325AAA"/>
    <w:rsid w:val="00326CEE"/>
    <w:rsid w:val="0032786C"/>
    <w:rsid w:val="00327BC8"/>
    <w:rsid w:val="00330387"/>
    <w:rsid w:val="0033086A"/>
    <w:rsid w:val="00330ED2"/>
    <w:rsid w:val="00330F0B"/>
    <w:rsid w:val="00331594"/>
    <w:rsid w:val="00331BA4"/>
    <w:rsid w:val="0033215A"/>
    <w:rsid w:val="00332716"/>
    <w:rsid w:val="0033324A"/>
    <w:rsid w:val="00333384"/>
    <w:rsid w:val="00334440"/>
    <w:rsid w:val="003349E2"/>
    <w:rsid w:val="00334A3E"/>
    <w:rsid w:val="00334A4C"/>
    <w:rsid w:val="00335516"/>
    <w:rsid w:val="003358DE"/>
    <w:rsid w:val="003359D8"/>
    <w:rsid w:val="003366FB"/>
    <w:rsid w:val="00336870"/>
    <w:rsid w:val="00336B87"/>
    <w:rsid w:val="00336B9E"/>
    <w:rsid w:val="00337D92"/>
    <w:rsid w:val="00340608"/>
    <w:rsid w:val="00340CA4"/>
    <w:rsid w:val="003414FC"/>
    <w:rsid w:val="00341EF9"/>
    <w:rsid w:val="003421FF"/>
    <w:rsid w:val="00342902"/>
    <w:rsid w:val="00342D5C"/>
    <w:rsid w:val="00343212"/>
    <w:rsid w:val="00343C18"/>
    <w:rsid w:val="00343F31"/>
    <w:rsid w:val="00344268"/>
    <w:rsid w:val="003445A4"/>
    <w:rsid w:val="003449A0"/>
    <w:rsid w:val="00345069"/>
    <w:rsid w:val="00345CDF"/>
    <w:rsid w:val="00345D2E"/>
    <w:rsid w:val="0034612B"/>
    <w:rsid w:val="00346359"/>
    <w:rsid w:val="00346D93"/>
    <w:rsid w:val="00347B4C"/>
    <w:rsid w:val="00347E2D"/>
    <w:rsid w:val="00350521"/>
    <w:rsid w:val="003508B6"/>
    <w:rsid w:val="00350E1D"/>
    <w:rsid w:val="003512DE"/>
    <w:rsid w:val="00352040"/>
    <w:rsid w:val="003520F3"/>
    <w:rsid w:val="00352419"/>
    <w:rsid w:val="003529A6"/>
    <w:rsid w:val="003531FD"/>
    <w:rsid w:val="003532A0"/>
    <w:rsid w:val="00353651"/>
    <w:rsid w:val="0035399E"/>
    <w:rsid w:val="00353B70"/>
    <w:rsid w:val="0035540D"/>
    <w:rsid w:val="003554EA"/>
    <w:rsid w:val="0035550A"/>
    <w:rsid w:val="00360A45"/>
    <w:rsid w:val="00361741"/>
    <w:rsid w:val="00361F16"/>
    <w:rsid w:val="00361FEB"/>
    <w:rsid w:val="0036249F"/>
    <w:rsid w:val="00362769"/>
    <w:rsid w:val="00362F7C"/>
    <w:rsid w:val="0036329A"/>
    <w:rsid w:val="00363569"/>
    <w:rsid w:val="00363C25"/>
    <w:rsid w:val="00364977"/>
    <w:rsid w:val="00366221"/>
    <w:rsid w:val="00366609"/>
    <w:rsid w:val="00366BDE"/>
    <w:rsid w:val="003702E2"/>
    <w:rsid w:val="00371056"/>
    <w:rsid w:val="00371920"/>
    <w:rsid w:val="00372DD6"/>
    <w:rsid w:val="00373C25"/>
    <w:rsid w:val="00373CFC"/>
    <w:rsid w:val="003745FC"/>
    <w:rsid w:val="0037472A"/>
    <w:rsid w:val="00374F14"/>
    <w:rsid w:val="0037565C"/>
    <w:rsid w:val="00376201"/>
    <w:rsid w:val="0037660A"/>
    <w:rsid w:val="00376921"/>
    <w:rsid w:val="003769D1"/>
    <w:rsid w:val="00376F14"/>
    <w:rsid w:val="00380256"/>
    <w:rsid w:val="003816F8"/>
    <w:rsid w:val="00381C21"/>
    <w:rsid w:val="0038223B"/>
    <w:rsid w:val="003825C5"/>
    <w:rsid w:val="00383B46"/>
    <w:rsid w:val="0038401B"/>
    <w:rsid w:val="00384AA9"/>
    <w:rsid w:val="00386025"/>
    <w:rsid w:val="00386944"/>
    <w:rsid w:val="00386A18"/>
    <w:rsid w:val="00387204"/>
    <w:rsid w:val="00390077"/>
    <w:rsid w:val="003901EB"/>
    <w:rsid w:val="00390458"/>
    <w:rsid w:val="00390A48"/>
    <w:rsid w:val="00391002"/>
    <w:rsid w:val="0039112C"/>
    <w:rsid w:val="00391692"/>
    <w:rsid w:val="0039225F"/>
    <w:rsid w:val="003929FE"/>
    <w:rsid w:val="00392BE8"/>
    <w:rsid w:val="00392F39"/>
    <w:rsid w:val="00395920"/>
    <w:rsid w:val="003959C9"/>
    <w:rsid w:val="00396489"/>
    <w:rsid w:val="00397219"/>
    <w:rsid w:val="00397AF0"/>
    <w:rsid w:val="003A0B92"/>
    <w:rsid w:val="003A1209"/>
    <w:rsid w:val="003A1648"/>
    <w:rsid w:val="003A180F"/>
    <w:rsid w:val="003A1A91"/>
    <w:rsid w:val="003A22CB"/>
    <w:rsid w:val="003A3C1C"/>
    <w:rsid w:val="003A4C28"/>
    <w:rsid w:val="003A51B3"/>
    <w:rsid w:val="003A5E1C"/>
    <w:rsid w:val="003A6021"/>
    <w:rsid w:val="003A609A"/>
    <w:rsid w:val="003B027C"/>
    <w:rsid w:val="003B0EEC"/>
    <w:rsid w:val="003B1050"/>
    <w:rsid w:val="003B1461"/>
    <w:rsid w:val="003B17A4"/>
    <w:rsid w:val="003B22B2"/>
    <w:rsid w:val="003B2396"/>
    <w:rsid w:val="003B2A02"/>
    <w:rsid w:val="003B5059"/>
    <w:rsid w:val="003B5097"/>
    <w:rsid w:val="003B64A5"/>
    <w:rsid w:val="003B694E"/>
    <w:rsid w:val="003B6B1A"/>
    <w:rsid w:val="003B6BB1"/>
    <w:rsid w:val="003B7009"/>
    <w:rsid w:val="003B71FA"/>
    <w:rsid w:val="003B7ED5"/>
    <w:rsid w:val="003C0847"/>
    <w:rsid w:val="003C17B6"/>
    <w:rsid w:val="003C1BD3"/>
    <w:rsid w:val="003C1EDD"/>
    <w:rsid w:val="003C24CC"/>
    <w:rsid w:val="003C2C0B"/>
    <w:rsid w:val="003C344E"/>
    <w:rsid w:val="003C4B63"/>
    <w:rsid w:val="003C559B"/>
    <w:rsid w:val="003C5A34"/>
    <w:rsid w:val="003C5C26"/>
    <w:rsid w:val="003C6670"/>
    <w:rsid w:val="003C69B8"/>
    <w:rsid w:val="003C7AE4"/>
    <w:rsid w:val="003D01E4"/>
    <w:rsid w:val="003D0F88"/>
    <w:rsid w:val="003D1A9A"/>
    <w:rsid w:val="003D1E6C"/>
    <w:rsid w:val="003D2966"/>
    <w:rsid w:val="003D2D75"/>
    <w:rsid w:val="003D3260"/>
    <w:rsid w:val="003D37B9"/>
    <w:rsid w:val="003D3D70"/>
    <w:rsid w:val="003D40CE"/>
    <w:rsid w:val="003D508B"/>
    <w:rsid w:val="003D54DC"/>
    <w:rsid w:val="003D5CB5"/>
    <w:rsid w:val="003D70C4"/>
    <w:rsid w:val="003E0391"/>
    <w:rsid w:val="003E04D5"/>
    <w:rsid w:val="003E09EC"/>
    <w:rsid w:val="003E1B58"/>
    <w:rsid w:val="003E372A"/>
    <w:rsid w:val="003E3848"/>
    <w:rsid w:val="003E39AB"/>
    <w:rsid w:val="003E3CCB"/>
    <w:rsid w:val="003E3CF5"/>
    <w:rsid w:val="003E4040"/>
    <w:rsid w:val="003E44DB"/>
    <w:rsid w:val="003E47B4"/>
    <w:rsid w:val="003E4B74"/>
    <w:rsid w:val="003E4BC2"/>
    <w:rsid w:val="003E5F3B"/>
    <w:rsid w:val="003E6938"/>
    <w:rsid w:val="003E6A06"/>
    <w:rsid w:val="003E6D1E"/>
    <w:rsid w:val="003E6F45"/>
    <w:rsid w:val="003E713B"/>
    <w:rsid w:val="003E790B"/>
    <w:rsid w:val="003F03D0"/>
    <w:rsid w:val="003F04D2"/>
    <w:rsid w:val="003F1922"/>
    <w:rsid w:val="003F24FE"/>
    <w:rsid w:val="003F2502"/>
    <w:rsid w:val="003F2562"/>
    <w:rsid w:val="003F2A28"/>
    <w:rsid w:val="003F303B"/>
    <w:rsid w:val="003F3F5A"/>
    <w:rsid w:val="003F4622"/>
    <w:rsid w:val="003F4C3A"/>
    <w:rsid w:val="003F4E04"/>
    <w:rsid w:val="003F5096"/>
    <w:rsid w:val="003F6028"/>
    <w:rsid w:val="003F6715"/>
    <w:rsid w:val="003F6752"/>
    <w:rsid w:val="003F6AA0"/>
    <w:rsid w:val="003F6EFC"/>
    <w:rsid w:val="003F75C3"/>
    <w:rsid w:val="003F7CF5"/>
    <w:rsid w:val="00400038"/>
    <w:rsid w:val="004000E7"/>
    <w:rsid w:val="0040024B"/>
    <w:rsid w:val="00400E2F"/>
    <w:rsid w:val="00401CE4"/>
    <w:rsid w:val="00401DA6"/>
    <w:rsid w:val="0040227E"/>
    <w:rsid w:val="00402364"/>
    <w:rsid w:val="00402376"/>
    <w:rsid w:val="00403213"/>
    <w:rsid w:val="0040351B"/>
    <w:rsid w:val="00403AC3"/>
    <w:rsid w:val="00403E65"/>
    <w:rsid w:val="00403FC9"/>
    <w:rsid w:val="0040688F"/>
    <w:rsid w:val="00406E2F"/>
    <w:rsid w:val="00407D95"/>
    <w:rsid w:val="00407E12"/>
    <w:rsid w:val="004107C7"/>
    <w:rsid w:val="00410831"/>
    <w:rsid w:val="004115A6"/>
    <w:rsid w:val="00411F90"/>
    <w:rsid w:val="00412517"/>
    <w:rsid w:val="004129C0"/>
    <w:rsid w:val="00412D3D"/>
    <w:rsid w:val="004139B7"/>
    <w:rsid w:val="00413F0B"/>
    <w:rsid w:val="00414A8E"/>
    <w:rsid w:val="004154E3"/>
    <w:rsid w:val="00415808"/>
    <w:rsid w:val="00415C89"/>
    <w:rsid w:val="004161EB"/>
    <w:rsid w:val="00416257"/>
    <w:rsid w:val="004171CA"/>
    <w:rsid w:val="004175AD"/>
    <w:rsid w:val="00420B43"/>
    <w:rsid w:val="00420F6C"/>
    <w:rsid w:val="00421561"/>
    <w:rsid w:val="00421D6C"/>
    <w:rsid w:val="004226D1"/>
    <w:rsid w:val="00422B63"/>
    <w:rsid w:val="00424E74"/>
    <w:rsid w:val="00424F5D"/>
    <w:rsid w:val="0042501B"/>
    <w:rsid w:val="0042512A"/>
    <w:rsid w:val="004252C3"/>
    <w:rsid w:val="0042533C"/>
    <w:rsid w:val="00425EBC"/>
    <w:rsid w:val="00426AD5"/>
    <w:rsid w:val="00426DEB"/>
    <w:rsid w:val="0042729C"/>
    <w:rsid w:val="0042750A"/>
    <w:rsid w:val="00427B53"/>
    <w:rsid w:val="00427E93"/>
    <w:rsid w:val="00430811"/>
    <w:rsid w:val="00430AD5"/>
    <w:rsid w:val="00430DAE"/>
    <w:rsid w:val="00431AA0"/>
    <w:rsid w:val="00432549"/>
    <w:rsid w:val="00432DA9"/>
    <w:rsid w:val="004342C2"/>
    <w:rsid w:val="004348AB"/>
    <w:rsid w:val="00434D21"/>
    <w:rsid w:val="004352C4"/>
    <w:rsid w:val="0043544C"/>
    <w:rsid w:val="004354C0"/>
    <w:rsid w:val="00436213"/>
    <w:rsid w:val="00436409"/>
    <w:rsid w:val="00437568"/>
    <w:rsid w:val="00437D9A"/>
    <w:rsid w:val="00437DF2"/>
    <w:rsid w:val="00440354"/>
    <w:rsid w:val="004407DA"/>
    <w:rsid w:val="004414C6"/>
    <w:rsid w:val="004418B4"/>
    <w:rsid w:val="00441995"/>
    <w:rsid w:val="00441A1E"/>
    <w:rsid w:val="00442929"/>
    <w:rsid w:val="00443080"/>
    <w:rsid w:val="00443827"/>
    <w:rsid w:val="00443903"/>
    <w:rsid w:val="00444678"/>
    <w:rsid w:val="00444754"/>
    <w:rsid w:val="00445DAC"/>
    <w:rsid w:val="00446629"/>
    <w:rsid w:val="00446BC1"/>
    <w:rsid w:val="0044726E"/>
    <w:rsid w:val="00447751"/>
    <w:rsid w:val="00447D3A"/>
    <w:rsid w:val="00450532"/>
    <w:rsid w:val="004513B8"/>
    <w:rsid w:val="00452638"/>
    <w:rsid w:val="0045322B"/>
    <w:rsid w:val="004537A7"/>
    <w:rsid w:val="00454972"/>
    <w:rsid w:val="00455A35"/>
    <w:rsid w:val="00455CF8"/>
    <w:rsid w:val="00457809"/>
    <w:rsid w:val="00457B5A"/>
    <w:rsid w:val="00457E28"/>
    <w:rsid w:val="00460101"/>
    <w:rsid w:val="0046041E"/>
    <w:rsid w:val="00460589"/>
    <w:rsid w:val="004605AB"/>
    <w:rsid w:val="00460EFC"/>
    <w:rsid w:val="004619C5"/>
    <w:rsid w:val="00461BC0"/>
    <w:rsid w:val="004625C1"/>
    <w:rsid w:val="004626A3"/>
    <w:rsid w:val="00463183"/>
    <w:rsid w:val="00463945"/>
    <w:rsid w:val="00463F21"/>
    <w:rsid w:val="00463F94"/>
    <w:rsid w:val="00464F79"/>
    <w:rsid w:val="00465052"/>
    <w:rsid w:val="00465146"/>
    <w:rsid w:val="00465515"/>
    <w:rsid w:val="00465AF9"/>
    <w:rsid w:val="00465C44"/>
    <w:rsid w:val="00467340"/>
    <w:rsid w:val="004676B0"/>
    <w:rsid w:val="00470404"/>
    <w:rsid w:val="004707D2"/>
    <w:rsid w:val="00470E5E"/>
    <w:rsid w:val="00470F1E"/>
    <w:rsid w:val="004724A6"/>
    <w:rsid w:val="00472D4D"/>
    <w:rsid w:val="004733A6"/>
    <w:rsid w:val="004739F9"/>
    <w:rsid w:val="00473E3D"/>
    <w:rsid w:val="00474FD8"/>
    <w:rsid w:val="00477C05"/>
    <w:rsid w:val="00480791"/>
    <w:rsid w:val="00481686"/>
    <w:rsid w:val="004816D0"/>
    <w:rsid w:val="0048283D"/>
    <w:rsid w:val="00482F2A"/>
    <w:rsid w:val="00483C57"/>
    <w:rsid w:val="004845D3"/>
    <w:rsid w:val="00484EDC"/>
    <w:rsid w:val="00485005"/>
    <w:rsid w:val="0048596B"/>
    <w:rsid w:val="00486175"/>
    <w:rsid w:val="0048673C"/>
    <w:rsid w:val="00486A61"/>
    <w:rsid w:val="00486D84"/>
    <w:rsid w:val="004873DD"/>
    <w:rsid w:val="00487F2D"/>
    <w:rsid w:val="00490FE4"/>
    <w:rsid w:val="00491520"/>
    <w:rsid w:val="00491543"/>
    <w:rsid w:val="00491B13"/>
    <w:rsid w:val="00492A34"/>
    <w:rsid w:val="00494F05"/>
    <w:rsid w:val="00494FD2"/>
    <w:rsid w:val="0049690B"/>
    <w:rsid w:val="00496FF4"/>
    <w:rsid w:val="004970A1"/>
    <w:rsid w:val="00497381"/>
    <w:rsid w:val="004A09DF"/>
    <w:rsid w:val="004A0F10"/>
    <w:rsid w:val="004A0F18"/>
    <w:rsid w:val="004A12B0"/>
    <w:rsid w:val="004A12D7"/>
    <w:rsid w:val="004A1C6C"/>
    <w:rsid w:val="004A220A"/>
    <w:rsid w:val="004A25DC"/>
    <w:rsid w:val="004A2B97"/>
    <w:rsid w:val="004A34C9"/>
    <w:rsid w:val="004A38E7"/>
    <w:rsid w:val="004A5411"/>
    <w:rsid w:val="004A61FA"/>
    <w:rsid w:val="004A636D"/>
    <w:rsid w:val="004A7239"/>
    <w:rsid w:val="004A7BEA"/>
    <w:rsid w:val="004B0488"/>
    <w:rsid w:val="004B04C4"/>
    <w:rsid w:val="004B04C7"/>
    <w:rsid w:val="004B0E90"/>
    <w:rsid w:val="004B1A75"/>
    <w:rsid w:val="004B2D91"/>
    <w:rsid w:val="004B30B5"/>
    <w:rsid w:val="004B32ED"/>
    <w:rsid w:val="004B3449"/>
    <w:rsid w:val="004B3BDE"/>
    <w:rsid w:val="004B3CD2"/>
    <w:rsid w:val="004B3CED"/>
    <w:rsid w:val="004B45F6"/>
    <w:rsid w:val="004B4628"/>
    <w:rsid w:val="004B4A2F"/>
    <w:rsid w:val="004B544F"/>
    <w:rsid w:val="004B6614"/>
    <w:rsid w:val="004B67A8"/>
    <w:rsid w:val="004B67FA"/>
    <w:rsid w:val="004B6D6E"/>
    <w:rsid w:val="004B7B1B"/>
    <w:rsid w:val="004C01AE"/>
    <w:rsid w:val="004C02F9"/>
    <w:rsid w:val="004C2844"/>
    <w:rsid w:val="004C2903"/>
    <w:rsid w:val="004C4399"/>
    <w:rsid w:val="004C4592"/>
    <w:rsid w:val="004C4875"/>
    <w:rsid w:val="004C4EE1"/>
    <w:rsid w:val="004C51C0"/>
    <w:rsid w:val="004C5A95"/>
    <w:rsid w:val="004C6278"/>
    <w:rsid w:val="004C667A"/>
    <w:rsid w:val="004C6D74"/>
    <w:rsid w:val="004C6E51"/>
    <w:rsid w:val="004D0250"/>
    <w:rsid w:val="004D09F8"/>
    <w:rsid w:val="004D0A48"/>
    <w:rsid w:val="004D10C6"/>
    <w:rsid w:val="004D1E5D"/>
    <w:rsid w:val="004D1E8C"/>
    <w:rsid w:val="004D290B"/>
    <w:rsid w:val="004D2C16"/>
    <w:rsid w:val="004D2C8D"/>
    <w:rsid w:val="004D2F67"/>
    <w:rsid w:val="004D33D4"/>
    <w:rsid w:val="004D36BB"/>
    <w:rsid w:val="004D3EA8"/>
    <w:rsid w:val="004D4515"/>
    <w:rsid w:val="004D5648"/>
    <w:rsid w:val="004D758B"/>
    <w:rsid w:val="004D7790"/>
    <w:rsid w:val="004E04D1"/>
    <w:rsid w:val="004E0CB5"/>
    <w:rsid w:val="004E180B"/>
    <w:rsid w:val="004E1C4B"/>
    <w:rsid w:val="004E2082"/>
    <w:rsid w:val="004E2275"/>
    <w:rsid w:val="004E2739"/>
    <w:rsid w:val="004E2C6E"/>
    <w:rsid w:val="004E378B"/>
    <w:rsid w:val="004E3938"/>
    <w:rsid w:val="004E47A8"/>
    <w:rsid w:val="004E498F"/>
    <w:rsid w:val="004E4AD3"/>
    <w:rsid w:val="004E4F60"/>
    <w:rsid w:val="004E53F1"/>
    <w:rsid w:val="004E5762"/>
    <w:rsid w:val="004E59A7"/>
    <w:rsid w:val="004E5A0F"/>
    <w:rsid w:val="004E5CF6"/>
    <w:rsid w:val="004E627D"/>
    <w:rsid w:val="004E62DC"/>
    <w:rsid w:val="004E65A5"/>
    <w:rsid w:val="004E724B"/>
    <w:rsid w:val="004E7455"/>
    <w:rsid w:val="004E7CF5"/>
    <w:rsid w:val="004F0627"/>
    <w:rsid w:val="004F14BC"/>
    <w:rsid w:val="004F17E7"/>
    <w:rsid w:val="004F18C3"/>
    <w:rsid w:val="004F2BFF"/>
    <w:rsid w:val="004F2FB1"/>
    <w:rsid w:val="004F352D"/>
    <w:rsid w:val="004F387C"/>
    <w:rsid w:val="004F3BDD"/>
    <w:rsid w:val="004F3D51"/>
    <w:rsid w:val="004F3DE7"/>
    <w:rsid w:val="004F485B"/>
    <w:rsid w:val="004F4FB8"/>
    <w:rsid w:val="004F5935"/>
    <w:rsid w:val="004F61A8"/>
    <w:rsid w:val="004F6764"/>
    <w:rsid w:val="004F6C75"/>
    <w:rsid w:val="004F6EA6"/>
    <w:rsid w:val="004F6F76"/>
    <w:rsid w:val="004F7104"/>
    <w:rsid w:val="004F7189"/>
    <w:rsid w:val="004F7E1B"/>
    <w:rsid w:val="0050033F"/>
    <w:rsid w:val="0050086C"/>
    <w:rsid w:val="00500B04"/>
    <w:rsid w:val="005012F3"/>
    <w:rsid w:val="00501524"/>
    <w:rsid w:val="00501A51"/>
    <w:rsid w:val="00501F76"/>
    <w:rsid w:val="00502280"/>
    <w:rsid w:val="00502EF7"/>
    <w:rsid w:val="005031A4"/>
    <w:rsid w:val="00503652"/>
    <w:rsid w:val="0050386D"/>
    <w:rsid w:val="00503997"/>
    <w:rsid w:val="0050403C"/>
    <w:rsid w:val="00504ED1"/>
    <w:rsid w:val="005050D2"/>
    <w:rsid w:val="00505463"/>
    <w:rsid w:val="00505E40"/>
    <w:rsid w:val="00505FD6"/>
    <w:rsid w:val="005062C2"/>
    <w:rsid w:val="00506DC3"/>
    <w:rsid w:val="00507213"/>
    <w:rsid w:val="00507AE0"/>
    <w:rsid w:val="00510A58"/>
    <w:rsid w:val="0051127D"/>
    <w:rsid w:val="00511FDA"/>
    <w:rsid w:val="00512544"/>
    <w:rsid w:val="005128E8"/>
    <w:rsid w:val="00512BD0"/>
    <w:rsid w:val="0051346A"/>
    <w:rsid w:val="00513B32"/>
    <w:rsid w:val="00513BB3"/>
    <w:rsid w:val="00514736"/>
    <w:rsid w:val="00514CEF"/>
    <w:rsid w:val="005150B5"/>
    <w:rsid w:val="005154F5"/>
    <w:rsid w:val="00515987"/>
    <w:rsid w:val="005168F8"/>
    <w:rsid w:val="005173E2"/>
    <w:rsid w:val="005175F6"/>
    <w:rsid w:val="00520637"/>
    <w:rsid w:val="00520CEE"/>
    <w:rsid w:val="00520D9E"/>
    <w:rsid w:val="00521AA3"/>
    <w:rsid w:val="00521E5F"/>
    <w:rsid w:val="00522157"/>
    <w:rsid w:val="005221D3"/>
    <w:rsid w:val="005226D9"/>
    <w:rsid w:val="00522D7A"/>
    <w:rsid w:val="00522EDE"/>
    <w:rsid w:val="00522F5B"/>
    <w:rsid w:val="00524540"/>
    <w:rsid w:val="005248C4"/>
    <w:rsid w:val="00524D8D"/>
    <w:rsid w:val="005251C0"/>
    <w:rsid w:val="00525D63"/>
    <w:rsid w:val="0052623B"/>
    <w:rsid w:val="005268EA"/>
    <w:rsid w:val="00527827"/>
    <w:rsid w:val="005278F6"/>
    <w:rsid w:val="00530774"/>
    <w:rsid w:val="00530A39"/>
    <w:rsid w:val="00530D49"/>
    <w:rsid w:val="00532415"/>
    <w:rsid w:val="00532C35"/>
    <w:rsid w:val="00533B8E"/>
    <w:rsid w:val="00534288"/>
    <w:rsid w:val="00534937"/>
    <w:rsid w:val="00534B76"/>
    <w:rsid w:val="00534CE6"/>
    <w:rsid w:val="00535126"/>
    <w:rsid w:val="005352EE"/>
    <w:rsid w:val="00535D7B"/>
    <w:rsid w:val="00536462"/>
    <w:rsid w:val="005366A9"/>
    <w:rsid w:val="0053672B"/>
    <w:rsid w:val="00536C5B"/>
    <w:rsid w:val="00536E02"/>
    <w:rsid w:val="00537287"/>
    <w:rsid w:val="00537347"/>
    <w:rsid w:val="005374B7"/>
    <w:rsid w:val="00537820"/>
    <w:rsid w:val="00537BA1"/>
    <w:rsid w:val="00540CE0"/>
    <w:rsid w:val="005418C4"/>
    <w:rsid w:val="0054222D"/>
    <w:rsid w:val="00542729"/>
    <w:rsid w:val="00543807"/>
    <w:rsid w:val="00544A04"/>
    <w:rsid w:val="00544BC1"/>
    <w:rsid w:val="00544CC1"/>
    <w:rsid w:val="0054548B"/>
    <w:rsid w:val="005455EF"/>
    <w:rsid w:val="00546E7A"/>
    <w:rsid w:val="00546FA1"/>
    <w:rsid w:val="00547AC7"/>
    <w:rsid w:val="005508F8"/>
    <w:rsid w:val="0055181B"/>
    <w:rsid w:val="005523DF"/>
    <w:rsid w:val="00552E5D"/>
    <w:rsid w:val="00552F03"/>
    <w:rsid w:val="00553B88"/>
    <w:rsid w:val="00553FF9"/>
    <w:rsid w:val="00554062"/>
    <w:rsid w:val="00554234"/>
    <w:rsid w:val="00554616"/>
    <w:rsid w:val="00554927"/>
    <w:rsid w:val="00555A61"/>
    <w:rsid w:val="00555ACF"/>
    <w:rsid w:val="005578DB"/>
    <w:rsid w:val="00557A09"/>
    <w:rsid w:val="00557D1A"/>
    <w:rsid w:val="0056058D"/>
    <w:rsid w:val="0056085F"/>
    <w:rsid w:val="00560B90"/>
    <w:rsid w:val="0056181E"/>
    <w:rsid w:val="00561A2A"/>
    <w:rsid w:val="0056318E"/>
    <w:rsid w:val="00563742"/>
    <w:rsid w:val="0056381C"/>
    <w:rsid w:val="00563D0E"/>
    <w:rsid w:val="00564282"/>
    <w:rsid w:val="00564BDB"/>
    <w:rsid w:val="00564CF1"/>
    <w:rsid w:val="005653B4"/>
    <w:rsid w:val="005662C1"/>
    <w:rsid w:val="00566722"/>
    <w:rsid w:val="005667FC"/>
    <w:rsid w:val="00566D80"/>
    <w:rsid w:val="00566E83"/>
    <w:rsid w:val="0056733F"/>
    <w:rsid w:val="005675FF"/>
    <w:rsid w:val="00567914"/>
    <w:rsid w:val="00567D81"/>
    <w:rsid w:val="00567EBA"/>
    <w:rsid w:val="005700CC"/>
    <w:rsid w:val="00570A8C"/>
    <w:rsid w:val="00570E3E"/>
    <w:rsid w:val="0057134D"/>
    <w:rsid w:val="005717A3"/>
    <w:rsid w:val="00571CBE"/>
    <w:rsid w:val="00571F4C"/>
    <w:rsid w:val="00572462"/>
    <w:rsid w:val="00572AE8"/>
    <w:rsid w:val="00573587"/>
    <w:rsid w:val="00573FE0"/>
    <w:rsid w:val="0057437C"/>
    <w:rsid w:val="0057466A"/>
    <w:rsid w:val="00574907"/>
    <w:rsid w:val="005757C5"/>
    <w:rsid w:val="005802D5"/>
    <w:rsid w:val="005806FD"/>
    <w:rsid w:val="0058085F"/>
    <w:rsid w:val="00580D68"/>
    <w:rsid w:val="00580F07"/>
    <w:rsid w:val="00581469"/>
    <w:rsid w:val="00582EED"/>
    <w:rsid w:val="005837FD"/>
    <w:rsid w:val="00583853"/>
    <w:rsid w:val="00583EC9"/>
    <w:rsid w:val="005857AA"/>
    <w:rsid w:val="00585B7B"/>
    <w:rsid w:val="00586CAC"/>
    <w:rsid w:val="00592093"/>
    <w:rsid w:val="005921CE"/>
    <w:rsid w:val="005923E1"/>
    <w:rsid w:val="00593094"/>
    <w:rsid w:val="0059345B"/>
    <w:rsid w:val="0059435D"/>
    <w:rsid w:val="00594558"/>
    <w:rsid w:val="00595342"/>
    <w:rsid w:val="0059535B"/>
    <w:rsid w:val="005954FA"/>
    <w:rsid w:val="005959D2"/>
    <w:rsid w:val="00596375"/>
    <w:rsid w:val="00596C26"/>
    <w:rsid w:val="005A0A2E"/>
    <w:rsid w:val="005A10A8"/>
    <w:rsid w:val="005A141C"/>
    <w:rsid w:val="005A19B2"/>
    <w:rsid w:val="005A1D82"/>
    <w:rsid w:val="005A244C"/>
    <w:rsid w:val="005A388E"/>
    <w:rsid w:val="005A3F5E"/>
    <w:rsid w:val="005A4401"/>
    <w:rsid w:val="005A44F3"/>
    <w:rsid w:val="005A54C5"/>
    <w:rsid w:val="005A626B"/>
    <w:rsid w:val="005A6768"/>
    <w:rsid w:val="005A6CEA"/>
    <w:rsid w:val="005A6DF6"/>
    <w:rsid w:val="005A6E0F"/>
    <w:rsid w:val="005A6EDA"/>
    <w:rsid w:val="005A72F1"/>
    <w:rsid w:val="005A7590"/>
    <w:rsid w:val="005A7DC2"/>
    <w:rsid w:val="005B18CC"/>
    <w:rsid w:val="005B291F"/>
    <w:rsid w:val="005B29C6"/>
    <w:rsid w:val="005B2D5B"/>
    <w:rsid w:val="005B3426"/>
    <w:rsid w:val="005B38A1"/>
    <w:rsid w:val="005B4D11"/>
    <w:rsid w:val="005B4F10"/>
    <w:rsid w:val="005B5164"/>
    <w:rsid w:val="005B51BD"/>
    <w:rsid w:val="005B53C1"/>
    <w:rsid w:val="005B5882"/>
    <w:rsid w:val="005B5C71"/>
    <w:rsid w:val="005B5D9A"/>
    <w:rsid w:val="005B63E8"/>
    <w:rsid w:val="005B6B1C"/>
    <w:rsid w:val="005B70FC"/>
    <w:rsid w:val="005B796F"/>
    <w:rsid w:val="005B7EF3"/>
    <w:rsid w:val="005C0783"/>
    <w:rsid w:val="005C0B9E"/>
    <w:rsid w:val="005C0E7F"/>
    <w:rsid w:val="005C1A1B"/>
    <w:rsid w:val="005C2B22"/>
    <w:rsid w:val="005C2D15"/>
    <w:rsid w:val="005C39B1"/>
    <w:rsid w:val="005C3FD0"/>
    <w:rsid w:val="005C44AD"/>
    <w:rsid w:val="005C4CBB"/>
    <w:rsid w:val="005C526E"/>
    <w:rsid w:val="005C57C8"/>
    <w:rsid w:val="005C6868"/>
    <w:rsid w:val="005C6B2C"/>
    <w:rsid w:val="005C6E56"/>
    <w:rsid w:val="005C70EB"/>
    <w:rsid w:val="005C7A9E"/>
    <w:rsid w:val="005D0EE1"/>
    <w:rsid w:val="005D1C7B"/>
    <w:rsid w:val="005D2C58"/>
    <w:rsid w:val="005D3148"/>
    <w:rsid w:val="005D47AC"/>
    <w:rsid w:val="005D5246"/>
    <w:rsid w:val="005D58AF"/>
    <w:rsid w:val="005D5912"/>
    <w:rsid w:val="005D5F8D"/>
    <w:rsid w:val="005D5F9C"/>
    <w:rsid w:val="005D6256"/>
    <w:rsid w:val="005D67F6"/>
    <w:rsid w:val="005D6F70"/>
    <w:rsid w:val="005D768A"/>
    <w:rsid w:val="005D78AB"/>
    <w:rsid w:val="005E0216"/>
    <w:rsid w:val="005E0308"/>
    <w:rsid w:val="005E1483"/>
    <w:rsid w:val="005E1E5E"/>
    <w:rsid w:val="005E271D"/>
    <w:rsid w:val="005E2836"/>
    <w:rsid w:val="005E2A23"/>
    <w:rsid w:val="005E2E65"/>
    <w:rsid w:val="005E30E7"/>
    <w:rsid w:val="005E339D"/>
    <w:rsid w:val="005E341C"/>
    <w:rsid w:val="005E367C"/>
    <w:rsid w:val="005E38BA"/>
    <w:rsid w:val="005E4509"/>
    <w:rsid w:val="005E453A"/>
    <w:rsid w:val="005E673C"/>
    <w:rsid w:val="005E6786"/>
    <w:rsid w:val="005E6E1A"/>
    <w:rsid w:val="005E74A0"/>
    <w:rsid w:val="005E763C"/>
    <w:rsid w:val="005E7951"/>
    <w:rsid w:val="005F071A"/>
    <w:rsid w:val="005F1342"/>
    <w:rsid w:val="005F1509"/>
    <w:rsid w:val="005F192A"/>
    <w:rsid w:val="005F1E8C"/>
    <w:rsid w:val="005F1EF2"/>
    <w:rsid w:val="005F35CA"/>
    <w:rsid w:val="005F4B80"/>
    <w:rsid w:val="005F529B"/>
    <w:rsid w:val="005F5B33"/>
    <w:rsid w:val="005F66E3"/>
    <w:rsid w:val="005F73BB"/>
    <w:rsid w:val="005F7ABE"/>
    <w:rsid w:val="0060174B"/>
    <w:rsid w:val="00601E08"/>
    <w:rsid w:val="00601E51"/>
    <w:rsid w:val="0060203D"/>
    <w:rsid w:val="00602C20"/>
    <w:rsid w:val="0060366A"/>
    <w:rsid w:val="006037FD"/>
    <w:rsid w:val="00603B71"/>
    <w:rsid w:val="00603C00"/>
    <w:rsid w:val="00603CFE"/>
    <w:rsid w:val="00604A04"/>
    <w:rsid w:val="00604A51"/>
    <w:rsid w:val="00605272"/>
    <w:rsid w:val="00605282"/>
    <w:rsid w:val="00605709"/>
    <w:rsid w:val="00605D8F"/>
    <w:rsid w:val="006060AE"/>
    <w:rsid w:val="00606159"/>
    <w:rsid w:val="006065A9"/>
    <w:rsid w:val="00607777"/>
    <w:rsid w:val="00607C26"/>
    <w:rsid w:val="00607C36"/>
    <w:rsid w:val="0061082E"/>
    <w:rsid w:val="006109FA"/>
    <w:rsid w:val="00610E12"/>
    <w:rsid w:val="00612457"/>
    <w:rsid w:val="0061249C"/>
    <w:rsid w:val="0061292D"/>
    <w:rsid w:val="00612EFD"/>
    <w:rsid w:val="0061319C"/>
    <w:rsid w:val="00614004"/>
    <w:rsid w:val="00614EA2"/>
    <w:rsid w:val="0061598A"/>
    <w:rsid w:val="00616250"/>
    <w:rsid w:val="0061646A"/>
    <w:rsid w:val="00616814"/>
    <w:rsid w:val="00616A07"/>
    <w:rsid w:val="00616C35"/>
    <w:rsid w:val="00616E1F"/>
    <w:rsid w:val="0061753F"/>
    <w:rsid w:val="00617BA3"/>
    <w:rsid w:val="00620388"/>
    <w:rsid w:val="00620A75"/>
    <w:rsid w:val="00621129"/>
    <w:rsid w:val="00621157"/>
    <w:rsid w:val="0062133B"/>
    <w:rsid w:val="0062176A"/>
    <w:rsid w:val="0062223F"/>
    <w:rsid w:val="00622609"/>
    <w:rsid w:val="006227A3"/>
    <w:rsid w:val="00623229"/>
    <w:rsid w:val="00623558"/>
    <w:rsid w:val="00623F4D"/>
    <w:rsid w:val="006247DD"/>
    <w:rsid w:val="00625035"/>
    <w:rsid w:val="006253B4"/>
    <w:rsid w:val="006254A8"/>
    <w:rsid w:val="00625CDF"/>
    <w:rsid w:val="00626658"/>
    <w:rsid w:val="0062765B"/>
    <w:rsid w:val="00627743"/>
    <w:rsid w:val="0062774D"/>
    <w:rsid w:val="006302C6"/>
    <w:rsid w:val="00630368"/>
    <w:rsid w:val="00630A0F"/>
    <w:rsid w:val="0063116B"/>
    <w:rsid w:val="00631B74"/>
    <w:rsid w:val="006322CC"/>
    <w:rsid w:val="00632924"/>
    <w:rsid w:val="00632D85"/>
    <w:rsid w:val="00633124"/>
    <w:rsid w:val="00633144"/>
    <w:rsid w:val="00634328"/>
    <w:rsid w:val="00636FAA"/>
    <w:rsid w:val="006371BC"/>
    <w:rsid w:val="00637261"/>
    <w:rsid w:val="00637359"/>
    <w:rsid w:val="006373C3"/>
    <w:rsid w:val="00637DB7"/>
    <w:rsid w:val="006404A6"/>
    <w:rsid w:val="00640FAD"/>
    <w:rsid w:val="0064134C"/>
    <w:rsid w:val="006419B5"/>
    <w:rsid w:val="006419B9"/>
    <w:rsid w:val="00641D71"/>
    <w:rsid w:val="006421AF"/>
    <w:rsid w:val="00642AF0"/>
    <w:rsid w:val="00642C31"/>
    <w:rsid w:val="00642E25"/>
    <w:rsid w:val="00643405"/>
    <w:rsid w:val="0064375A"/>
    <w:rsid w:val="00643AE7"/>
    <w:rsid w:val="00644028"/>
    <w:rsid w:val="00644A02"/>
    <w:rsid w:val="006457C4"/>
    <w:rsid w:val="00645BA0"/>
    <w:rsid w:val="006464A1"/>
    <w:rsid w:val="006476EA"/>
    <w:rsid w:val="006500EC"/>
    <w:rsid w:val="006513D6"/>
    <w:rsid w:val="0065211E"/>
    <w:rsid w:val="0065278D"/>
    <w:rsid w:val="00652E84"/>
    <w:rsid w:val="00653181"/>
    <w:rsid w:val="00654282"/>
    <w:rsid w:val="006554F0"/>
    <w:rsid w:val="00655B38"/>
    <w:rsid w:val="00655F2F"/>
    <w:rsid w:val="00656737"/>
    <w:rsid w:val="0065769E"/>
    <w:rsid w:val="006577DF"/>
    <w:rsid w:val="0065783E"/>
    <w:rsid w:val="006600DB"/>
    <w:rsid w:val="0066082A"/>
    <w:rsid w:val="00661F02"/>
    <w:rsid w:val="00662128"/>
    <w:rsid w:val="00662AAF"/>
    <w:rsid w:val="00662BEA"/>
    <w:rsid w:val="00663131"/>
    <w:rsid w:val="006632FB"/>
    <w:rsid w:val="006634B5"/>
    <w:rsid w:val="0066386C"/>
    <w:rsid w:val="00663BB7"/>
    <w:rsid w:val="00664228"/>
    <w:rsid w:val="00665457"/>
    <w:rsid w:val="006663F9"/>
    <w:rsid w:val="006663FC"/>
    <w:rsid w:val="00670760"/>
    <w:rsid w:val="0067087F"/>
    <w:rsid w:val="006708E1"/>
    <w:rsid w:val="00670B37"/>
    <w:rsid w:val="00670D7A"/>
    <w:rsid w:val="00670DBB"/>
    <w:rsid w:val="00671C6C"/>
    <w:rsid w:val="006725C1"/>
    <w:rsid w:val="00672FB8"/>
    <w:rsid w:val="00673467"/>
    <w:rsid w:val="0067410D"/>
    <w:rsid w:val="006741D0"/>
    <w:rsid w:val="00674762"/>
    <w:rsid w:val="006747A1"/>
    <w:rsid w:val="00675214"/>
    <w:rsid w:val="0067576D"/>
    <w:rsid w:val="00675AE9"/>
    <w:rsid w:val="00675B0C"/>
    <w:rsid w:val="00675C9A"/>
    <w:rsid w:val="006760CA"/>
    <w:rsid w:val="006761D2"/>
    <w:rsid w:val="0067642B"/>
    <w:rsid w:val="00676DD7"/>
    <w:rsid w:val="00676F2D"/>
    <w:rsid w:val="006778F1"/>
    <w:rsid w:val="00677B45"/>
    <w:rsid w:val="00677F8D"/>
    <w:rsid w:val="00680A27"/>
    <w:rsid w:val="00680E9F"/>
    <w:rsid w:val="00681038"/>
    <w:rsid w:val="00681101"/>
    <w:rsid w:val="00681478"/>
    <w:rsid w:val="00682498"/>
    <w:rsid w:val="00682B08"/>
    <w:rsid w:val="00682D8C"/>
    <w:rsid w:val="006830EB"/>
    <w:rsid w:val="006832B3"/>
    <w:rsid w:val="006834E9"/>
    <w:rsid w:val="006839F9"/>
    <w:rsid w:val="00684533"/>
    <w:rsid w:val="00684C6F"/>
    <w:rsid w:val="00685702"/>
    <w:rsid w:val="00685717"/>
    <w:rsid w:val="0068586C"/>
    <w:rsid w:val="00685B13"/>
    <w:rsid w:val="00686061"/>
    <w:rsid w:val="006861B5"/>
    <w:rsid w:val="00686CDA"/>
    <w:rsid w:val="00687ACD"/>
    <w:rsid w:val="00690109"/>
    <w:rsid w:val="00690557"/>
    <w:rsid w:val="006912AB"/>
    <w:rsid w:val="006913B4"/>
    <w:rsid w:val="0069155A"/>
    <w:rsid w:val="00691DF7"/>
    <w:rsid w:val="0069241F"/>
    <w:rsid w:val="00692DAD"/>
    <w:rsid w:val="00693394"/>
    <w:rsid w:val="006934F8"/>
    <w:rsid w:val="00693D3B"/>
    <w:rsid w:val="00694B0E"/>
    <w:rsid w:val="00695039"/>
    <w:rsid w:val="0069509A"/>
    <w:rsid w:val="00695F37"/>
    <w:rsid w:val="0069632E"/>
    <w:rsid w:val="00696979"/>
    <w:rsid w:val="006975E0"/>
    <w:rsid w:val="006A015F"/>
    <w:rsid w:val="006A07C6"/>
    <w:rsid w:val="006A1AC5"/>
    <w:rsid w:val="006A25CC"/>
    <w:rsid w:val="006A2923"/>
    <w:rsid w:val="006A2BDA"/>
    <w:rsid w:val="006A39C6"/>
    <w:rsid w:val="006A3C6C"/>
    <w:rsid w:val="006A3FF5"/>
    <w:rsid w:val="006A524A"/>
    <w:rsid w:val="006A5278"/>
    <w:rsid w:val="006A57F8"/>
    <w:rsid w:val="006A5A96"/>
    <w:rsid w:val="006A659E"/>
    <w:rsid w:val="006A684F"/>
    <w:rsid w:val="006A7437"/>
    <w:rsid w:val="006A7443"/>
    <w:rsid w:val="006A74FF"/>
    <w:rsid w:val="006A78EE"/>
    <w:rsid w:val="006B011E"/>
    <w:rsid w:val="006B0129"/>
    <w:rsid w:val="006B0997"/>
    <w:rsid w:val="006B0EEC"/>
    <w:rsid w:val="006B2965"/>
    <w:rsid w:val="006B2C06"/>
    <w:rsid w:val="006B3180"/>
    <w:rsid w:val="006B4163"/>
    <w:rsid w:val="006B4812"/>
    <w:rsid w:val="006B4A87"/>
    <w:rsid w:val="006B4FF6"/>
    <w:rsid w:val="006B534D"/>
    <w:rsid w:val="006B5512"/>
    <w:rsid w:val="006B5DC1"/>
    <w:rsid w:val="006B60EC"/>
    <w:rsid w:val="006B6607"/>
    <w:rsid w:val="006B762F"/>
    <w:rsid w:val="006B7DD6"/>
    <w:rsid w:val="006C0B66"/>
    <w:rsid w:val="006C13DA"/>
    <w:rsid w:val="006C2060"/>
    <w:rsid w:val="006C264D"/>
    <w:rsid w:val="006C34C6"/>
    <w:rsid w:val="006C3DC3"/>
    <w:rsid w:val="006C5386"/>
    <w:rsid w:val="006C56CD"/>
    <w:rsid w:val="006C5FAF"/>
    <w:rsid w:val="006C62D1"/>
    <w:rsid w:val="006C7928"/>
    <w:rsid w:val="006D042E"/>
    <w:rsid w:val="006D0612"/>
    <w:rsid w:val="006D1943"/>
    <w:rsid w:val="006D2263"/>
    <w:rsid w:val="006D296C"/>
    <w:rsid w:val="006D2AF6"/>
    <w:rsid w:val="006D2BD4"/>
    <w:rsid w:val="006D35F6"/>
    <w:rsid w:val="006D3FB6"/>
    <w:rsid w:val="006D5A26"/>
    <w:rsid w:val="006D5FEA"/>
    <w:rsid w:val="006D61AC"/>
    <w:rsid w:val="006D7677"/>
    <w:rsid w:val="006E14CC"/>
    <w:rsid w:val="006E1D0B"/>
    <w:rsid w:val="006E1DB7"/>
    <w:rsid w:val="006E24E1"/>
    <w:rsid w:val="006E2636"/>
    <w:rsid w:val="006E3176"/>
    <w:rsid w:val="006E33EE"/>
    <w:rsid w:val="006E3B0C"/>
    <w:rsid w:val="006E4093"/>
    <w:rsid w:val="006E4370"/>
    <w:rsid w:val="006E48E9"/>
    <w:rsid w:val="006E4A0B"/>
    <w:rsid w:val="006E5CAD"/>
    <w:rsid w:val="006E64C7"/>
    <w:rsid w:val="006E721C"/>
    <w:rsid w:val="006E78A0"/>
    <w:rsid w:val="006E7A88"/>
    <w:rsid w:val="006E7FDB"/>
    <w:rsid w:val="006F08F8"/>
    <w:rsid w:val="006F093B"/>
    <w:rsid w:val="006F0B43"/>
    <w:rsid w:val="006F0CA6"/>
    <w:rsid w:val="006F29EC"/>
    <w:rsid w:val="006F3D40"/>
    <w:rsid w:val="006F4D91"/>
    <w:rsid w:val="006F4DD2"/>
    <w:rsid w:val="006F4E7B"/>
    <w:rsid w:val="006F7484"/>
    <w:rsid w:val="006F74A7"/>
    <w:rsid w:val="006F7863"/>
    <w:rsid w:val="007002DF"/>
    <w:rsid w:val="00700B8B"/>
    <w:rsid w:val="00701260"/>
    <w:rsid w:val="00701FE0"/>
    <w:rsid w:val="00702149"/>
    <w:rsid w:val="007034B4"/>
    <w:rsid w:val="007038A4"/>
    <w:rsid w:val="00703D22"/>
    <w:rsid w:val="007042D9"/>
    <w:rsid w:val="00704425"/>
    <w:rsid w:val="00704B1C"/>
    <w:rsid w:val="00704B70"/>
    <w:rsid w:val="007054B5"/>
    <w:rsid w:val="0070605A"/>
    <w:rsid w:val="00706F24"/>
    <w:rsid w:val="007073E4"/>
    <w:rsid w:val="00707DA1"/>
    <w:rsid w:val="00707E7F"/>
    <w:rsid w:val="007101E8"/>
    <w:rsid w:val="00710C34"/>
    <w:rsid w:val="00711BE0"/>
    <w:rsid w:val="0071209C"/>
    <w:rsid w:val="00712755"/>
    <w:rsid w:val="007131A5"/>
    <w:rsid w:val="007131C8"/>
    <w:rsid w:val="007133D8"/>
    <w:rsid w:val="007135C5"/>
    <w:rsid w:val="00713DEC"/>
    <w:rsid w:val="00715720"/>
    <w:rsid w:val="0071599F"/>
    <w:rsid w:val="00716AFB"/>
    <w:rsid w:val="007177F4"/>
    <w:rsid w:val="00717818"/>
    <w:rsid w:val="00720079"/>
    <w:rsid w:val="007205DE"/>
    <w:rsid w:val="0072134A"/>
    <w:rsid w:val="00722C8E"/>
    <w:rsid w:val="00723DC4"/>
    <w:rsid w:val="00723E5F"/>
    <w:rsid w:val="00723EBF"/>
    <w:rsid w:val="007245E1"/>
    <w:rsid w:val="00725031"/>
    <w:rsid w:val="00725A9B"/>
    <w:rsid w:val="00727776"/>
    <w:rsid w:val="007279CE"/>
    <w:rsid w:val="00730964"/>
    <w:rsid w:val="00730DEC"/>
    <w:rsid w:val="00730E8B"/>
    <w:rsid w:val="00731050"/>
    <w:rsid w:val="007319C3"/>
    <w:rsid w:val="00732D95"/>
    <w:rsid w:val="007334CA"/>
    <w:rsid w:val="007342A5"/>
    <w:rsid w:val="007343F1"/>
    <w:rsid w:val="00735152"/>
    <w:rsid w:val="00735264"/>
    <w:rsid w:val="00735487"/>
    <w:rsid w:val="007355A3"/>
    <w:rsid w:val="00736B83"/>
    <w:rsid w:val="00740E4E"/>
    <w:rsid w:val="0074109C"/>
    <w:rsid w:val="0074181A"/>
    <w:rsid w:val="007426D9"/>
    <w:rsid w:val="00743BAB"/>
    <w:rsid w:val="0074458C"/>
    <w:rsid w:val="00744A03"/>
    <w:rsid w:val="00744E3D"/>
    <w:rsid w:val="007451FB"/>
    <w:rsid w:val="007459FE"/>
    <w:rsid w:val="00745FAC"/>
    <w:rsid w:val="007466D7"/>
    <w:rsid w:val="00747463"/>
    <w:rsid w:val="00747A4D"/>
    <w:rsid w:val="00750678"/>
    <w:rsid w:val="00751E82"/>
    <w:rsid w:val="00752247"/>
    <w:rsid w:val="007529CE"/>
    <w:rsid w:val="007551EB"/>
    <w:rsid w:val="007566A6"/>
    <w:rsid w:val="00757620"/>
    <w:rsid w:val="0076037D"/>
    <w:rsid w:val="00760538"/>
    <w:rsid w:val="007605A2"/>
    <w:rsid w:val="00760D92"/>
    <w:rsid w:val="0076122F"/>
    <w:rsid w:val="007619F7"/>
    <w:rsid w:val="00762039"/>
    <w:rsid w:val="00762347"/>
    <w:rsid w:val="00762B3B"/>
    <w:rsid w:val="00763F69"/>
    <w:rsid w:val="00765A27"/>
    <w:rsid w:val="007660FF"/>
    <w:rsid w:val="007666DE"/>
    <w:rsid w:val="0076694A"/>
    <w:rsid w:val="00766CDA"/>
    <w:rsid w:val="00767610"/>
    <w:rsid w:val="00770623"/>
    <w:rsid w:val="0077073A"/>
    <w:rsid w:val="00770DC1"/>
    <w:rsid w:val="00770E6E"/>
    <w:rsid w:val="0077137A"/>
    <w:rsid w:val="00771E7B"/>
    <w:rsid w:val="00772549"/>
    <w:rsid w:val="007735A7"/>
    <w:rsid w:val="00773F45"/>
    <w:rsid w:val="00773F69"/>
    <w:rsid w:val="00773F9B"/>
    <w:rsid w:val="00774A4F"/>
    <w:rsid w:val="00775C92"/>
    <w:rsid w:val="00775DB1"/>
    <w:rsid w:val="00777D2E"/>
    <w:rsid w:val="00780707"/>
    <w:rsid w:val="00780C19"/>
    <w:rsid w:val="0078116D"/>
    <w:rsid w:val="007813B1"/>
    <w:rsid w:val="007817A5"/>
    <w:rsid w:val="007825A4"/>
    <w:rsid w:val="007832AF"/>
    <w:rsid w:val="0078365D"/>
    <w:rsid w:val="0078395B"/>
    <w:rsid w:val="00784D25"/>
    <w:rsid w:val="0078547C"/>
    <w:rsid w:val="007855B5"/>
    <w:rsid w:val="00785E08"/>
    <w:rsid w:val="007869ED"/>
    <w:rsid w:val="00786A60"/>
    <w:rsid w:val="00786FBD"/>
    <w:rsid w:val="00787571"/>
    <w:rsid w:val="00787737"/>
    <w:rsid w:val="007902A4"/>
    <w:rsid w:val="007905BD"/>
    <w:rsid w:val="0079125E"/>
    <w:rsid w:val="0079169B"/>
    <w:rsid w:val="00792089"/>
    <w:rsid w:val="007923A3"/>
    <w:rsid w:val="00792928"/>
    <w:rsid w:val="00792C62"/>
    <w:rsid w:val="00793E69"/>
    <w:rsid w:val="00794290"/>
    <w:rsid w:val="00795686"/>
    <w:rsid w:val="00796481"/>
    <w:rsid w:val="007965CE"/>
    <w:rsid w:val="00796B7F"/>
    <w:rsid w:val="007A0094"/>
    <w:rsid w:val="007A0237"/>
    <w:rsid w:val="007A0353"/>
    <w:rsid w:val="007A0D51"/>
    <w:rsid w:val="007A0FA3"/>
    <w:rsid w:val="007A0FAB"/>
    <w:rsid w:val="007A1835"/>
    <w:rsid w:val="007A18A2"/>
    <w:rsid w:val="007A1FA8"/>
    <w:rsid w:val="007A2251"/>
    <w:rsid w:val="007A226C"/>
    <w:rsid w:val="007A2583"/>
    <w:rsid w:val="007A2BAC"/>
    <w:rsid w:val="007A3629"/>
    <w:rsid w:val="007A38D5"/>
    <w:rsid w:val="007A3F76"/>
    <w:rsid w:val="007A4570"/>
    <w:rsid w:val="007A4D87"/>
    <w:rsid w:val="007A613A"/>
    <w:rsid w:val="007A6EBF"/>
    <w:rsid w:val="007A741C"/>
    <w:rsid w:val="007A79FF"/>
    <w:rsid w:val="007B05AE"/>
    <w:rsid w:val="007B0B27"/>
    <w:rsid w:val="007B119A"/>
    <w:rsid w:val="007B20D9"/>
    <w:rsid w:val="007B219E"/>
    <w:rsid w:val="007B2F52"/>
    <w:rsid w:val="007B2F7B"/>
    <w:rsid w:val="007B363E"/>
    <w:rsid w:val="007B3BA5"/>
    <w:rsid w:val="007B4B80"/>
    <w:rsid w:val="007B4BC4"/>
    <w:rsid w:val="007B4E52"/>
    <w:rsid w:val="007B4FEB"/>
    <w:rsid w:val="007B551F"/>
    <w:rsid w:val="007B737A"/>
    <w:rsid w:val="007B762B"/>
    <w:rsid w:val="007B7663"/>
    <w:rsid w:val="007B78B2"/>
    <w:rsid w:val="007B7939"/>
    <w:rsid w:val="007B796A"/>
    <w:rsid w:val="007B7BE6"/>
    <w:rsid w:val="007C0287"/>
    <w:rsid w:val="007C04A3"/>
    <w:rsid w:val="007C0755"/>
    <w:rsid w:val="007C1454"/>
    <w:rsid w:val="007C1733"/>
    <w:rsid w:val="007C180E"/>
    <w:rsid w:val="007C19CF"/>
    <w:rsid w:val="007C1CA8"/>
    <w:rsid w:val="007C2929"/>
    <w:rsid w:val="007C2B63"/>
    <w:rsid w:val="007C2B66"/>
    <w:rsid w:val="007C2F7B"/>
    <w:rsid w:val="007C3FB4"/>
    <w:rsid w:val="007C4CC8"/>
    <w:rsid w:val="007C5114"/>
    <w:rsid w:val="007C51C9"/>
    <w:rsid w:val="007C56DA"/>
    <w:rsid w:val="007C5CED"/>
    <w:rsid w:val="007C683C"/>
    <w:rsid w:val="007C69EE"/>
    <w:rsid w:val="007C7477"/>
    <w:rsid w:val="007C777A"/>
    <w:rsid w:val="007C7F2E"/>
    <w:rsid w:val="007D0579"/>
    <w:rsid w:val="007D061F"/>
    <w:rsid w:val="007D066C"/>
    <w:rsid w:val="007D0709"/>
    <w:rsid w:val="007D0EF1"/>
    <w:rsid w:val="007D18D2"/>
    <w:rsid w:val="007D21C1"/>
    <w:rsid w:val="007D2BC1"/>
    <w:rsid w:val="007D2BFC"/>
    <w:rsid w:val="007D321F"/>
    <w:rsid w:val="007D340F"/>
    <w:rsid w:val="007D38BD"/>
    <w:rsid w:val="007D4BF2"/>
    <w:rsid w:val="007D5828"/>
    <w:rsid w:val="007D5BB1"/>
    <w:rsid w:val="007D5D76"/>
    <w:rsid w:val="007D6762"/>
    <w:rsid w:val="007D6944"/>
    <w:rsid w:val="007D6F84"/>
    <w:rsid w:val="007D7325"/>
    <w:rsid w:val="007D7603"/>
    <w:rsid w:val="007D7682"/>
    <w:rsid w:val="007D7806"/>
    <w:rsid w:val="007E05E1"/>
    <w:rsid w:val="007E0AE2"/>
    <w:rsid w:val="007E0F01"/>
    <w:rsid w:val="007E104C"/>
    <w:rsid w:val="007E19FD"/>
    <w:rsid w:val="007E236D"/>
    <w:rsid w:val="007E29E5"/>
    <w:rsid w:val="007E379E"/>
    <w:rsid w:val="007E4DB9"/>
    <w:rsid w:val="007E5084"/>
    <w:rsid w:val="007E5442"/>
    <w:rsid w:val="007E56F4"/>
    <w:rsid w:val="007E6018"/>
    <w:rsid w:val="007E670E"/>
    <w:rsid w:val="007E6DA2"/>
    <w:rsid w:val="007E6E7F"/>
    <w:rsid w:val="007E74BE"/>
    <w:rsid w:val="007E75DD"/>
    <w:rsid w:val="007F035C"/>
    <w:rsid w:val="007F1866"/>
    <w:rsid w:val="007F1E77"/>
    <w:rsid w:val="007F1FAC"/>
    <w:rsid w:val="007F20D2"/>
    <w:rsid w:val="007F2B65"/>
    <w:rsid w:val="007F2F06"/>
    <w:rsid w:val="007F3154"/>
    <w:rsid w:val="007F3279"/>
    <w:rsid w:val="007F3371"/>
    <w:rsid w:val="007F3545"/>
    <w:rsid w:val="007F47AF"/>
    <w:rsid w:val="007F4A7E"/>
    <w:rsid w:val="007F4E3E"/>
    <w:rsid w:val="007F5C51"/>
    <w:rsid w:val="007F6067"/>
    <w:rsid w:val="007F6B2A"/>
    <w:rsid w:val="0080030B"/>
    <w:rsid w:val="00801BC0"/>
    <w:rsid w:val="0080225A"/>
    <w:rsid w:val="008024A6"/>
    <w:rsid w:val="00802CAE"/>
    <w:rsid w:val="00803386"/>
    <w:rsid w:val="008036A7"/>
    <w:rsid w:val="00803A2D"/>
    <w:rsid w:val="008042B5"/>
    <w:rsid w:val="008046BA"/>
    <w:rsid w:val="008050F2"/>
    <w:rsid w:val="00805244"/>
    <w:rsid w:val="00805346"/>
    <w:rsid w:val="00805601"/>
    <w:rsid w:val="00805F12"/>
    <w:rsid w:val="008066EE"/>
    <w:rsid w:val="00806719"/>
    <w:rsid w:val="00807195"/>
    <w:rsid w:val="0080768C"/>
    <w:rsid w:val="00807E9F"/>
    <w:rsid w:val="0081068B"/>
    <w:rsid w:val="00811004"/>
    <w:rsid w:val="00811AFC"/>
    <w:rsid w:val="00812E24"/>
    <w:rsid w:val="00812EE5"/>
    <w:rsid w:val="00817018"/>
    <w:rsid w:val="00817818"/>
    <w:rsid w:val="00820600"/>
    <w:rsid w:val="00820799"/>
    <w:rsid w:val="00820E74"/>
    <w:rsid w:val="008214E7"/>
    <w:rsid w:val="00821CE9"/>
    <w:rsid w:val="008221AE"/>
    <w:rsid w:val="0082249F"/>
    <w:rsid w:val="00822724"/>
    <w:rsid w:val="008227A1"/>
    <w:rsid w:val="00822F4A"/>
    <w:rsid w:val="008237B8"/>
    <w:rsid w:val="00824032"/>
    <w:rsid w:val="008245D2"/>
    <w:rsid w:val="008246C4"/>
    <w:rsid w:val="00825407"/>
    <w:rsid w:val="00826FD1"/>
    <w:rsid w:val="008278C4"/>
    <w:rsid w:val="00827FAB"/>
    <w:rsid w:val="008301C7"/>
    <w:rsid w:val="00831173"/>
    <w:rsid w:val="00831562"/>
    <w:rsid w:val="0083183D"/>
    <w:rsid w:val="00831B29"/>
    <w:rsid w:val="00831EC4"/>
    <w:rsid w:val="00832353"/>
    <w:rsid w:val="008328F1"/>
    <w:rsid w:val="00832B6B"/>
    <w:rsid w:val="0083327A"/>
    <w:rsid w:val="00833459"/>
    <w:rsid w:val="008340B2"/>
    <w:rsid w:val="00834BD6"/>
    <w:rsid w:val="0083537A"/>
    <w:rsid w:val="0083569D"/>
    <w:rsid w:val="00835D73"/>
    <w:rsid w:val="00836A9A"/>
    <w:rsid w:val="00836C92"/>
    <w:rsid w:val="00836DAB"/>
    <w:rsid w:val="0083735E"/>
    <w:rsid w:val="00837C76"/>
    <w:rsid w:val="00840862"/>
    <w:rsid w:val="00840DAA"/>
    <w:rsid w:val="0084154D"/>
    <w:rsid w:val="008415FC"/>
    <w:rsid w:val="008418F8"/>
    <w:rsid w:val="008427F5"/>
    <w:rsid w:val="00842B67"/>
    <w:rsid w:val="0084428C"/>
    <w:rsid w:val="00844661"/>
    <w:rsid w:val="00844F04"/>
    <w:rsid w:val="00845285"/>
    <w:rsid w:val="00845754"/>
    <w:rsid w:val="00845AB7"/>
    <w:rsid w:val="00845BDF"/>
    <w:rsid w:val="00845E1B"/>
    <w:rsid w:val="008460FB"/>
    <w:rsid w:val="008466D7"/>
    <w:rsid w:val="00847510"/>
    <w:rsid w:val="0085098C"/>
    <w:rsid w:val="0085168A"/>
    <w:rsid w:val="00851B2A"/>
    <w:rsid w:val="00852E79"/>
    <w:rsid w:val="00854FC6"/>
    <w:rsid w:val="008550DF"/>
    <w:rsid w:val="0085558B"/>
    <w:rsid w:val="00855657"/>
    <w:rsid w:val="008558FC"/>
    <w:rsid w:val="0085597A"/>
    <w:rsid w:val="00856419"/>
    <w:rsid w:val="00857D3B"/>
    <w:rsid w:val="00860AF6"/>
    <w:rsid w:val="00860EAB"/>
    <w:rsid w:val="00860F8A"/>
    <w:rsid w:val="00861285"/>
    <w:rsid w:val="0086139A"/>
    <w:rsid w:val="00862306"/>
    <w:rsid w:val="0086265E"/>
    <w:rsid w:val="008626B8"/>
    <w:rsid w:val="0086275B"/>
    <w:rsid w:val="00862DDA"/>
    <w:rsid w:val="00863384"/>
    <w:rsid w:val="00863947"/>
    <w:rsid w:val="0086469D"/>
    <w:rsid w:val="00865AA9"/>
    <w:rsid w:val="00865D68"/>
    <w:rsid w:val="00866749"/>
    <w:rsid w:val="00867528"/>
    <w:rsid w:val="00867998"/>
    <w:rsid w:val="00867A7C"/>
    <w:rsid w:val="008707B0"/>
    <w:rsid w:val="0087127D"/>
    <w:rsid w:val="008712E1"/>
    <w:rsid w:val="00871B69"/>
    <w:rsid w:val="008721FB"/>
    <w:rsid w:val="008724F6"/>
    <w:rsid w:val="00873608"/>
    <w:rsid w:val="0087545C"/>
    <w:rsid w:val="0087662D"/>
    <w:rsid w:val="0087690A"/>
    <w:rsid w:val="00876E52"/>
    <w:rsid w:val="0087748C"/>
    <w:rsid w:val="008777EA"/>
    <w:rsid w:val="00877B27"/>
    <w:rsid w:val="00880064"/>
    <w:rsid w:val="008807E4"/>
    <w:rsid w:val="00880F31"/>
    <w:rsid w:val="00880FBF"/>
    <w:rsid w:val="008812E9"/>
    <w:rsid w:val="00881528"/>
    <w:rsid w:val="008824C9"/>
    <w:rsid w:val="008827B2"/>
    <w:rsid w:val="008828E4"/>
    <w:rsid w:val="0088321E"/>
    <w:rsid w:val="00883728"/>
    <w:rsid w:val="00883779"/>
    <w:rsid w:val="00884A03"/>
    <w:rsid w:val="008853E5"/>
    <w:rsid w:val="00885434"/>
    <w:rsid w:val="008855FA"/>
    <w:rsid w:val="0088617C"/>
    <w:rsid w:val="00887AA2"/>
    <w:rsid w:val="008903D9"/>
    <w:rsid w:val="00890A05"/>
    <w:rsid w:val="00890FB9"/>
    <w:rsid w:val="0089115C"/>
    <w:rsid w:val="0089118E"/>
    <w:rsid w:val="00891F38"/>
    <w:rsid w:val="008927F4"/>
    <w:rsid w:val="00892CB9"/>
    <w:rsid w:val="00893465"/>
    <w:rsid w:val="00893708"/>
    <w:rsid w:val="00894694"/>
    <w:rsid w:val="0089523C"/>
    <w:rsid w:val="0089568C"/>
    <w:rsid w:val="00895923"/>
    <w:rsid w:val="00895A58"/>
    <w:rsid w:val="00896E86"/>
    <w:rsid w:val="0089756E"/>
    <w:rsid w:val="008A0357"/>
    <w:rsid w:val="008A0B35"/>
    <w:rsid w:val="008A30D3"/>
    <w:rsid w:val="008A40B9"/>
    <w:rsid w:val="008A4521"/>
    <w:rsid w:val="008A4654"/>
    <w:rsid w:val="008A4CCA"/>
    <w:rsid w:val="008A521C"/>
    <w:rsid w:val="008A559C"/>
    <w:rsid w:val="008A55FF"/>
    <w:rsid w:val="008A5F67"/>
    <w:rsid w:val="008A695F"/>
    <w:rsid w:val="008A6C36"/>
    <w:rsid w:val="008A7998"/>
    <w:rsid w:val="008A7D89"/>
    <w:rsid w:val="008B05FD"/>
    <w:rsid w:val="008B0A85"/>
    <w:rsid w:val="008B0C82"/>
    <w:rsid w:val="008B0FA6"/>
    <w:rsid w:val="008B1170"/>
    <w:rsid w:val="008B1CCC"/>
    <w:rsid w:val="008B2AAE"/>
    <w:rsid w:val="008B34C5"/>
    <w:rsid w:val="008B4712"/>
    <w:rsid w:val="008B48CC"/>
    <w:rsid w:val="008B51F1"/>
    <w:rsid w:val="008B6183"/>
    <w:rsid w:val="008B7172"/>
    <w:rsid w:val="008C077D"/>
    <w:rsid w:val="008C098A"/>
    <w:rsid w:val="008C21F2"/>
    <w:rsid w:val="008C2234"/>
    <w:rsid w:val="008C2462"/>
    <w:rsid w:val="008C3D94"/>
    <w:rsid w:val="008C3F76"/>
    <w:rsid w:val="008C413A"/>
    <w:rsid w:val="008C4389"/>
    <w:rsid w:val="008C46EE"/>
    <w:rsid w:val="008C4A49"/>
    <w:rsid w:val="008C5DF1"/>
    <w:rsid w:val="008C6193"/>
    <w:rsid w:val="008C6E65"/>
    <w:rsid w:val="008C751A"/>
    <w:rsid w:val="008C7804"/>
    <w:rsid w:val="008C7887"/>
    <w:rsid w:val="008C7A9E"/>
    <w:rsid w:val="008C7E86"/>
    <w:rsid w:val="008D0230"/>
    <w:rsid w:val="008D0E6A"/>
    <w:rsid w:val="008D0ECC"/>
    <w:rsid w:val="008D1604"/>
    <w:rsid w:val="008D1801"/>
    <w:rsid w:val="008D1E8B"/>
    <w:rsid w:val="008D217C"/>
    <w:rsid w:val="008D2208"/>
    <w:rsid w:val="008D264E"/>
    <w:rsid w:val="008D4314"/>
    <w:rsid w:val="008D4A2B"/>
    <w:rsid w:val="008D4A9C"/>
    <w:rsid w:val="008D6445"/>
    <w:rsid w:val="008D79C8"/>
    <w:rsid w:val="008E011C"/>
    <w:rsid w:val="008E02A3"/>
    <w:rsid w:val="008E02BF"/>
    <w:rsid w:val="008E0346"/>
    <w:rsid w:val="008E0A0A"/>
    <w:rsid w:val="008E0FC2"/>
    <w:rsid w:val="008E1419"/>
    <w:rsid w:val="008E14C7"/>
    <w:rsid w:val="008E18C5"/>
    <w:rsid w:val="008E1E91"/>
    <w:rsid w:val="008E212B"/>
    <w:rsid w:val="008E35A9"/>
    <w:rsid w:val="008E38D6"/>
    <w:rsid w:val="008E3C45"/>
    <w:rsid w:val="008E49EB"/>
    <w:rsid w:val="008E4B1E"/>
    <w:rsid w:val="008E50C6"/>
    <w:rsid w:val="008E5186"/>
    <w:rsid w:val="008E585F"/>
    <w:rsid w:val="008E6A8A"/>
    <w:rsid w:val="008E6CB5"/>
    <w:rsid w:val="008E71E4"/>
    <w:rsid w:val="008E771A"/>
    <w:rsid w:val="008E7A1B"/>
    <w:rsid w:val="008F0162"/>
    <w:rsid w:val="008F0615"/>
    <w:rsid w:val="008F0E5F"/>
    <w:rsid w:val="008F21FA"/>
    <w:rsid w:val="008F2FD6"/>
    <w:rsid w:val="008F58BD"/>
    <w:rsid w:val="008F58E9"/>
    <w:rsid w:val="008F639E"/>
    <w:rsid w:val="008F65B0"/>
    <w:rsid w:val="008F6772"/>
    <w:rsid w:val="008F69C6"/>
    <w:rsid w:val="008F6E52"/>
    <w:rsid w:val="008F7105"/>
    <w:rsid w:val="008F78D0"/>
    <w:rsid w:val="008F7A34"/>
    <w:rsid w:val="00900210"/>
    <w:rsid w:val="0090050E"/>
    <w:rsid w:val="0090084B"/>
    <w:rsid w:val="0090158B"/>
    <w:rsid w:val="00901611"/>
    <w:rsid w:val="009022E9"/>
    <w:rsid w:val="009023F6"/>
    <w:rsid w:val="009025E5"/>
    <w:rsid w:val="00904690"/>
    <w:rsid w:val="00905A86"/>
    <w:rsid w:val="00905EC5"/>
    <w:rsid w:val="009062D0"/>
    <w:rsid w:val="009064B4"/>
    <w:rsid w:val="009101E6"/>
    <w:rsid w:val="00911CBC"/>
    <w:rsid w:val="009125DD"/>
    <w:rsid w:val="00912E73"/>
    <w:rsid w:val="00913315"/>
    <w:rsid w:val="00913665"/>
    <w:rsid w:val="0091367B"/>
    <w:rsid w:val="00913E49"/>
    <w:rsid w:val="0091407B"/>
    <w:rsid w:val="0091497B"/>
    <w:rsid w:val="00914B37"/>
    <w:rsid w:val="00914D68"/>
    <w:rsid w:val="009155A4"/>
    <w:rsid w:val="00915762"/>
    <w:rsid w:val="00915A10"/>
    <w:rsid w:val="00916B86"/>
    <w:rsid w:val="00917FCF"/>
    <w:rsid w:val="009204D3"/>
    <w:rsid w:val="00920844"/>
    <w:rsid w:val="0092147B"/>
    <w:rsid w:val="00921728"/>
    <w:rsid w:val="00921B8C"/>
    <w:rsid w:val="00921D94"/>
    <w:rsid w:val="009222FB"/>
    <w:rsid w:val="00922545"/>
    <w:rsid w:val="00922B24"/>
    <w:rsid w:val="00922F68"/>
    <w:rsid w:val="00923684"/>
    <w:rsid w:val="00923D64"/>
    <w:rsid w:val="00923E7F"/>
    <w:rsid w:val="00924CCC"/>
    <w:rsid w:val="0092504B"/>
    <w:rsid w:val="0092612B"/>
    <w:rsid w:val="0092625D"/>
    <w:rsid w:val="00926459"/>
    <w:rsid w:val="00926768"/>
    <w:rsid w:val="0092696B"/>
    <w:rsid w:val="0092727E"/>
    <w:rsid w:val="00927FC3"/>
    <w:rsid w:val="009312A7"/>
    <w:rsid w:val="00931A6F"/>
    <w:rsid w:val="00931CEF"/>
    <w:rsid w:val="009322C7"/>
    <w:rsid w:val="0093293F"/>
    <w:rsid w:val="00932F72"/>
    <w:rsid w:val="00932FBB"/>
    <w:rsid w:val="00933242"/>
    <w:rsid w:val="00933842"/>
    <w:rsid w:val="00933885"/>
    <w:rsid w:val="00933DD4"/>
    <w:rsid w:val="0093419C"/>
    <w:rsid w:val="00934DC0"/>
    <w:rsid w:val="009354DF"/>
    <w:rsid w:val="009358D7"/>
    <w:rsid w:val="00935B9F"/>
    <w:rsid w:val="00935F57"/>
    <w:rsid w:val="00935FDE"/>
    <w:rsid w:val="00937019"/>
    <w:rsid w:val="009403F8"/>
    <w:rsid w:val="00941115"/>
    <w:rsid w:val="00941478"/>
    <w:rsid w:val="00941A76"/>
    <w:rsid w:val="0094203C"/>
    <w:rsid w:val="009422C6"/>
    <w:rsid w:val="00943600"/>
    <w:rsid w:val="009438F9"/>
    <w:rsid w:val="00943E78"/>
    <w:rsid w:val="0094429D"/>
    <w:rsid w:val="00944C51"/>
    <w:rsid w:val="009457D2"/>
    <w:rsid w:val="0094580E"/>
    <w:rsid w:val="00945865"/>
    <w:rsid w:val="00946972"/>
    <w:rsid w:val="00946F5C"/>
    <w:rsid w:val="00947A6A"/>
    <w:rsid w:val="00947AF6"/>
    <w:rsid w:val="009500FE"/>
    <w:rsid w:val="0095070B"/>
    <w:rsid w:val="00951074"/>
    <w:rsid w:val="0095116E"/>
    <w:rsid w:val="00951A26"/>
    <w:rsid w:val="00951E6D"/>
    <w:rsid w:val="00952331"/>
    <w:rsid w:val="009523B5"/>
    <w:rsid w:val="00953BB8"/>
    <w:rsid w:val="00953F92"/>
    <w:rsid w:val="00954237"/>
    <w:rsid w:val="0095489F"/>
    <w:rsid w:val="009549F5"/>
    <w:rsid w:val="00954BA3"/>
    <w:rsid w:val="00954FD1"/>
    <w:rsid w:val="009554CE"/>
    <w:rsid w:val="00955FCD"/>
    <w:rsid w:val="009561F9"/>
    <w:rsid w:val="00956E5F"/>
    <w:rsid w:val="009579B0"/>
    <w:rsid w:val="00957F01"/>
    <w:rsid w:val="009604F7"/>
    <w:rsid w:val="009613F8"/>
    <w:rsid w:val="00961473"/>
    <w:rsid w:val="0096149C"/>
    <w:rsid w:val="00961E6F"/>
    <w:rsid w:val="00961EB8"/>
    <w:rsid w:val="009622AA"/>
    <w:rsid w:val="009629A2"/>
    <w:rsid w:val="00963029"/>
    <w:rsid w:val="00963D4E"/>
    <w:rsid w:val="00964017"/>
    <w:rsid w:val="009644B2"/>
    <w:rsid w:val="00964AB5"/>
    <w:rsid w:val="00964EA3"/>
    <w:rsid w:val="00965711"/>
    <w:rsid w:val="00965750"/>
    <w:rsid w:val="00966004"/>
    <w:rsid w:val="009671B4"/>
    <w:rsid w:val="009704D9"/>
    <w:rsid w:val="00970815"/>
    <w:rsid w:val="009713AD"/>
    <w:rsid w:val="009714BB"/>
    <w:rsid w:val="00971889"/>
    <w:rsid w:val="009719DD"/>
    <w:rsid w:val="00971A2F"/>
    <w:rsid w:val="00972351"/>
    <w:rsid w:val="00972D94"/>
    <w:rsid w:val="00973657"/>
    <w:rsid w:val="009740B3"/>
    <w:rsid w:val="00974895"/>
    <w:rsid w:val="009748FA"/>
    <w:rsid w:val="00974DD2"/>
    <w:rsid w:val="00974E04"/>
    <w:rsid w:val="00976DD3"/>
    <w:rsid w:val="009772AD"/>
    <w:rsid w:val="00977886"/>
    <w:rsid w:val="00977EBA"/>
    <w:rsid w:val="00981201"/>
    <w:rsid w:val="00981220"/>
    <w:rsid w:val="0098161A"/>
    <w:rsid w:val="00981758"/>
    <w:rsid w:val="009819EA"/>
    <w:rsid w:val="009833F3"/>
    <w:rsid w:val="00984BB8"/>
    <w:rsid w:val="00984F03"/>
    <w:rsid w:val="00985175"/>
    <w:rsid w:val="00985906"/>
    <w:rsid w:val="00985908"/>
    <w:rsid w:val="00985A2A"/>
    <w:rsid w:val="00985B52"/>
    <w:rsid w:val="00985BCB"/>
    <w:rsid w:val="00986123"/>
    <w:rsid w:val="00987681"/>
    <w:rsid w:val="00987BDA"/>
    <w:rsid w:val="00987F47"/>
    <w:rsid w:val="009903B2"/>
    <w:rsid w:val="00990C9A"/>
    <w:rsid w:val="0099216F"/>
    <w:rsid w:val="0099231C"/>
    <w:rsid w:val="00994121"/>
    <w:rsid w:val="009941F6"/>
    <w:rsid w:val="00994FA4"/>
    <w:rsid w:val="009950E0"/>
    <w:rsid w:val="009950EF"/>
    <w:rsid w:val="00995A7E"/>
    <w:rsid w:val="00995CA5"/>
    <w:rsid w:val="00995F2A"/>
    <w:rsid w:val="0099730A"/>
    <w:rsid w:val="009976CE"/>
    <w:rsid w:val="009A010D"/>
    <w:rsid w:val="009A0124"/>
    <w:rsid w:val="009A022D"/>
    <w:rsid w:val="009A07FA"/>
    <w:rsid w:val="009A0A34"/>
    <w:rsid w:val="009A0BF6"/>
    <w:rsid w:val="009A1362"/>
    <w:rsid w:val="009A1650"/>
    <w:rsid w:val="009A27BB"/>
    <w:rsid w:val="009A2F23"/>
    <w:rsid w:val="009A3D29"/>
    <w:rsid w:val="009A4211"/>
    <w:rsid w:val="009A43A3"/>
    <w:rsid w:val="009A491D"/>
    <w:rsid w:val="009A49B3"/>
    <w:rsid w:val="009A5B6E"/>
    <w:rsid w:val="009A66E6"/>
    <w:rsid w:val="009A6C91"/>
    <w:rsid w:val="009A721E"/>
    <w:rsid w:val="009A7695"/>
    <w:rsid w:val="009A774A"/>
    <w:rsid w:val="009A7B22"/>
    <w:rsid w:val="009A7B83"/>
    <w:rsid w:val="009A7C30"/>
    <w:rsid w:val="009B0089"/>
    <w:rsid w:val="009B01D9"/>
    <w:rsid w:val="009B0238"/>
    <w:rsid w:val="009B07D4"/>
    <w:rsid w:val="009B3585"/>
    <w:rsid w:val="009B3D91"/>
    <w:rsid w:val="009B3DF1"/>
    <w:rsid w:val="009B3E48"/>
    <w:rsid w:val="009B50C8"/>
    <w:rsid w:val="009B601E"/>
    <w:rsid w:val="009B7570"/>
    <w:rsid w:val="009B77D6"/>
    <w:rsid w:val="009C045D"/>
    <w:rsid w:val="009C1AD3"/>
    <w:rsid w:val="009C23E6"/>
    <w:rsid w:val="009C25F1"/>
    <w:rsid w:val="009C27AF"/>
    <w:rsid w:val="009C30E6"/>
    <w:rsid w:val="009C31F4"/>
    <w:rsid w:val="009C3644"/>
    <w:rsid w:val="009C4D31"/>
    <w:rsid w:val="009C4EA5"/>
    <w:rsid w:val="009C6E30"/>
    <w:rsid w:val="009C6F19"/>
    <w:rsid w:val="009C763E"/>
    <w:rsid w:val="009C7655"/>
    <w:rsid w:val="009D0336"/>
    <w:rsid w:val="009D07A3"/>
    <w:rsid w:val="009D0B1D"/>
    <w:rsid w:val="009D111F"/>
    <w:rsid w:val="009D11F2"/>
    <w:rsid w:val="009D1741"/>
    <w:rsid w:val="009D36B8"/>
    <w:rsid w:val="009D4225"/>
    <w:rsid w:val="009D6E1F"/>
    <w:rsid w:val="009E13B8"/>
    <w:rsid w:val="009E1C88"/>
    <w:rsid w:val="009E2076"/>
    <w:rsid w:val="009E20DE"/>
    <w:rsid w:val="009E2C4E"/>
    <w:rsid w:val="009E3639"/>
    <w:rsid w:val="009E370E"/>
    <w:rsid w:val="009E4835"/>
    <w:rsid w:val="009E4A3A"/>
    <w:rsid w:val="009E4F20"/>
    <w:rsid w:val="009E546A"/>
    <w:rsid w:val="009E6C34"/>
    <w:rsid w:val="009E70A8"/>
    <w:rsid w:val="009E7B39"/>
    <w:rsid w:val="009E7F97"/>
    <w:rsid w:val="009F03FD"/>
    <w:rsid w:val="009F1E26"/>
    <w:rsid w:val="009F2195"/>
    <w:rsid w:val="009F2EDE"/>
    <w:rsid w:val="009F484B"/>
    <w:rsid w:val="009F4935"/>
    <w:rsid w:val="009F4F76"/>
    <w:rsid w:val="009F52A7"/>
    <w:rsid w:val="009F5304"/>
    <w:rsid w:val="009F5D5D"/>
    <w:rsid w:val="009F67C5"/>
    <w:rsid w:val="009F68C2"/>
    <w:rsid w:val="009F6C23"/>
    <w:rsid w:val="009F6D95"/>
    <w:rsid w:val="009F6F13"/>
    <w:rsid w:val="009F7660"/>
    <w:rsid w:val="00A00075"/>
    <w:rsid w:val="00A00FC2"/>
    <w:rsid w:val="00A014E2"/>
    <w:rsid w:val="00A017EA"/>
    <w:rsid w:val="00A01D7E"/>
    <w:rsid w:val="00A01F8C"/>
    <w:rsid w:val="00A02025"/>
    <w:rsid w:val="00A0211A"/>
    <w:rsid w:val="00A024D3"/>
    <w:rsid w:val="00A0270A"/>
    <w:rsid w:val="00A02968"/>
    <w:rsid w:val="00A02CA4"/>
    <w:rsid w:val="00A04977"/>
    <w:rsid w:val="00A0574B"/>
    <w:rsid w:val="00A05AB0"/>
    <w:rsid w:val="00A06BE4"/>
    <w:rsid w:val="00A06CCC"/>
    <w:rsid w:val="00A079FE"/>
    <w:rsid w:val="00A11607"/>
    <w:rsid w:val="00A11703"/>
    <w:rsid w:val="00A117E8"/>
    <w:rsid w:val="00A11D0B"/>
    <w:rsid w:val="00A129E2"/>
    <w:rsid w:val="00A12EF1"/>
    <w:rsid w:val="00A1334C"/>
    <w:rsid w:val="00A13955"/>
    <w:rsid w:val="00A13D06"/>
    <w:rsid w:val="00A13E0D"/>
    <w:rsid w:val="00A145F0"/>
    <w:rsid w:val="00A163A0"/>
    <w:rsid w:val="00A16EEC"/>
    <w:rsid w:val="00A17725"/>
    <w:rsid w:val="00A17866"/>
    <w:rsid w:val="00A206DC"/>
    <w:rsid w:val="00A20995"/>
    <w:rsid w:val="00A21393"/>
    <w:rsid w:val="00A218EF"/>
    <w:rsid w:val="00A21CCC"/>
    <w:rsid w:val="00A2232B"/>
    <w:rsid w:val="00A23926"/>
    <w:rsid w:val="00A23A6A"/>
    <w:rsid w:val="00A2425F"/>
    <w:rsid w:val="00A24EA8"/>
    <w:rsid w:val="00A25E3D"/>
    <w:rsid w:val="00A267E8"/>
    <w:rsid w:val="00A30747"/>
    <w:rsid w:val="00A30CDB"/>
    <w:rsid w:val="00A311FB"/>
    <w:rsid w:val="00A31E5F"/>
    <w:rsid w:val="00A33251"/>
    <w:rsid w:val="00A33895"/>
    <w:rsid w:val="00A33B88"/>
    <w:rsid w:val="00A346DF"/>
    <w:rsid w:val="00A34B58"/>
    <w:rsid w:val="00A34ECA"/>
    <w:rsid w:val="00A35895"/>
    <w:rsid w:val="00A35C43"/>
    <w:rsid w:val="00A35D8A"/>
    <w:rsid w:val="00A36FC5"/>
    <w:rsid w:val="00A401CA"/>
    <w:rsid w:val="00A40239"/>
    <w:rsid w:val="00A419EB"/>
    <w:rsid w:val="00A41C43"/>
    <w:rsid w:val="00A420B2"/>
    <w:rsid w:val="00A43494"/>
    <w:rsid w:val="00A43C3C"/>
    <w:rsid w:val="00A445FC"/>
    <w:rsid w:val="00A44A35"/>
    <w:rsid w:val="00A45532"/>
    <w:rsid w:val="00A4604C"/>
    <w:rsid w:val="00A468F4"/>
    <w:rsid w:val="00A47100"/>
    <w:rsid w:val="00A472CA"/>
    <w:rsid w:val="00A473FF"/>
    <w:rsid w:val="00A47F8A"/>
    <w:rsid w:val="00A503BD"/>
    <w:rsid w:val="00A5103A"/>
    <w:rsid w:val="00A51583"/>
    <w:rsid w:val="00A515D3"/>
    <w:rsid w:val="00A51E1B"/>
    <w:rsid w:val="00A52049"/>
    <w:rsid w:val="00A527C1"/>
    <w:rsid w:val="00A529A1"/>
    <w:rsid w:val="00A531C7"/>
    <w:rsid w:val="00A53621"/>
    <w:rsid w:val="00A53899"/>
    <w:rsid w:val="00A53A64"/>
    <w:rsid w:val="00A53C7D"/>
    <w:rsid w:val="00A53F8D"/>
    <w:rsid w:val="00A55D69"/>
    <w:rsid w:val="00A5616E"/>
    <w:rsid w:val="00A5672E"/>
    <w:rsid w:val="00A5696D"/>
    <w:rsid w:val="00A56C03"/>
    <w:rsid w:val="00A579C7"/>
    <w:rsid w:val="00A603D6"/>
    <w:rsid w:val="00A61A04"/>
    <w:rsid w:val="00A61CAF"/>
    <w:rsid w:val="00A62E8D"/>
    <w:rsid w:val="00A63907"/>
    <w:rsid w:val="00A63D7F"/>
    <w:rsid w:val="00A63F85"/>
    <w:rsid w:val="00A645B7"/>
    <w:rsid w:val="00A64DD5"/>
    <w:rsid w:val="00A64DF4"/>
    <w:rsid w:val="00A65B5F"/>
    <w:rsid w:val="00A65FE3"/>
    <w:rsid w:val="00A66AEA"/>
    <w:rsid w:val="00A66AEC"/>
    <w:rsid w:val="00A66F47"/>
    <w:rsid w:val="00A67362"/>
    <w:rsid w:val="00A677A9"/>
    <w:rsid w:val="00A677B4"/>
    <w:rsid w:val="00A67872"/>
    <w:rsid w:val="00A67B7D"/>
    <w:rsid w:val="00A7016E"/>
    <w:rsid w:val="00A7043C"/>
    <w:rsid w:val="00A712C4"/>
    <w:rsid w:val="00A714F9"/>
    <w:rsid w:val="00A71D18"/>
    <w:rsid w:val="00A72CB2"/>
    <w:rsid w:val="00A732AB"/>
    <w:rsid w:val="00A74AD5"/>
    <w:rsid w:val="00A74E11"/>
    <w:rsid w:val="00A74ED9"/>
    <w:rsid w:val="00A75C7F"/>
    <w:rsid w:val="00A75CB4"/>
    <w:rsid w:val="00A76AA4"/>
    <w:rsid w:val="00A77CCD"/>
    <w:rsid w:val="00A8090D"/>
    <w:rsid w:val="00A811D9"/>
    <w:rsid w:val="00A81235"/>
    <w:rsid w:val="00A814B1"/>
    <w:rsid w:val="00A815F2"/>
    <w:rsid w:val="00A8183A"/>
    <w:rsid w:val="00A829EC"/>
    <w:rsid w:val="00A82DE3"/>
    <w:rsid w:val="00A83A0F"/>
    <w:rsid w:val="00A850F3"/>
    <w:rsid w:val="00A8579A"/>
    <w:rsid w:val="00A867AF"/>
    <w:rsid w:val="00A86CDC"/>
    <w:rsid w:val="00A87FC9"/>
    <w:rsid w:val="00A90213"/>
    <w:rsid w:val="00A9022B"/>
    <w:rsid w:val="00A909C0"/>
    <w:rsid w:val="00A90BAE"/>
    <w:rsid w:val="00A912A4"/>
    <w:rsid w:val="00A919A8"/>
    <w:rsid w:val="00A92B24"/>
    <w:rsid w:val="00A9331C"/>
    <w:rsid w:val="00A9384D"/>
    <w:rsid w:val="00A93A9C"/>
    <w:rsid w:val="00A93BF4"/>
    <w:rsid w:val="00A93CA6"/>
    <w:rsid w:val="00A94319"/>
    <w:rsid w:val="00A947BF"/>
    <w:rsid w:val="00A95880"/>
    <w:rsid w:val="00A95BF5"/>
    <w:rsid w:val="00A96240"/>
    <w:rsid w:val="00A96859"/>
    <w:rsid w:val="00A9761E"/>
    <w:rsid w:val="00AA1398"/>
    <w:rsid w:val="00AA1B2A"/>
    <w:rsid w:val="00AA1F8E"/>
    <w:rsid w:val="00AA1F92"/>
    <w:rsid w:val="00AA25D5"/>
    <w:rsid w:val="00AA2CF6"/>
    <w:rsid w:val="00AA30F8"/>
    <w:rsid w:val="00AA32EC"/>
    <w:rsid w:val="00AA380C"/>
    <w:rsid w:val="00AA5724"/>
    <w:rsid w:val="00AA58D0"/>
    <w:rsid w:val="00AA6294"/>
    <w:rsid w:val="00AA630B"/>
    <w:rsid w:val="00AA6660"/>
    <w:rsid w:val="00AA67B7"/>
    <w:rsid w:val="00AA7F21"/>
    <w:rsid w:val="00AB0363"/>
    <w:rsid w:val="00AB04A3"/>
    <w:rsid w:val="00AB10C4"/>
    <w:rsid w:val="00AB177E"/>
    <w:rsid w:val="00AB2833"/>
    <w:rsid w:val="00AB2B3C"/>
    <w:rsid w:val="00AB2E47"/>
    <w:rsid w:val="00AB3024"/>
    <w:rsid w:val="00AB3081"/>
    <w:rsid w:val="00AB3B7E"/>
    <w:rsid w:val="00AB4559"/>
    <w:rsid w:val="00AB4C20"/>
    <w:rsid w:val="00AB5D2E"/>
    <w:rsid w:val="00AB6154"/>
    <w:rsid w:val="00AB6CB1"/>
    <w:rsid w:val="00AB71F0"/>
    <w:rsid w:val="00AB7370"/>
    <w:rsid w:val="00AB7B4F"/>
    <w:rsid w:val="00AC006F"/>
    <w:rsid w:val="00AC0626"/>
    <w:rsid w:val="00AC12E0"/>
    <w:rsid w:val="00AC1BDE"/>
    <w:rsid w:val="00AC269E"/>
    <w:rsid w:val="00AC2D76"/>
    <w:rsid w:val="00AC38C3"/>
    <w:rsid w:val="00AC38D7"/>
    <w:rsid w:val="00AC3DDE"/>
    <w:rsid w:val="00AC3E27"/>
    <w:rsid w:val="00AC4134"/>
    <w:rsid w:val="00AC42BA"/>
    <w:rsid w:val="00AC4D20"/>
    <w:rsid w:val="00AC51DB"/>
    <w:rsid w:val="00AC6165"/>
    <w:rsid w:val="00AD0DDD"/>
    <w:rsid w:val="00AD13E0"/>
    <w:rsid w:val="00AD29FF"/>
    <w:rsid w:val="00AD32B5"/>
    <w:rsid w:val="00AD3457"/>
    <w:rsid w:val="00AD352E"/>
    <w:rsid w:val="00AD38A7"/>
    <w:rsid w:val="00AD4EF4"/>
    <w:rsid w:val="00AD4F9D"/>
    <w:rsid w:val="00AD64C1"/>
    <w:rsid w:val="00AD6520"/>
    <w:rsid w:val="00AD7936"/>
    <w:rsid w:val="00AD7A14"/>
    <w:rsid w:val="00AE0183"/>
    <w:rsid w:val="00AE02E1"/>
    <w:rsid w:val="00AE1C2C"/>
    <w:rsid w:val="00AE1D98"/>
    <w:rsid w:val="00AE2240"/>
    <w:rsid w:val="00AE320C"/>
    <w:rsid w:val="00AE3B06"/>
    <w:rsid w:val="00AE3BC9"/>
    <w:rsid w:val="00AE3CD1"/>
    <w:rsid w:val="00AE3F83"/>
    <w:rsid w:val="00AE622B"/>
    <w:rsid w:val="00AE688B"/>
    <w:rsid w:val="00AE6A39"/>
    <w:rsid w:val="00AE6C77"/>
    <w:rsid w:val="00AE7BD7"/>
    <w:rsid w:val="00AF04FF"/>
    <w:rsid w:val="00AF06BA"/>
    <w:rsid w:val="00AF1B4D"/>
    <w:rsid w:val="00AF393C"/>
    <w:rsid w:val="00AF4D0C"/>
    <w:rsid w:val="00AF4E28"/>
    <w:rsid w:val="00AF508B"/>
    <w:rsid w:val="00AF5F49"/>
    <w:rsid w:val="00AF6446"/>
    <w:rsid w:val="00AF671D"/>
    <w:rsid w:val="00AF6C5F"/>
    <w:rsid w:val="00AF6D41"/>
    <w:rsid w:val="00AF7165"/>
    <w:rsid w:val="00AF71DD"/>
    <w:rsid w:val="00B00B74"/>
    <w:rsid w:val="00B00C21"/>
    <w:rsid w:val="00B00D28"/>
    <w:rsid w:val="00B0128A"/>
    <w:rsid w:val="00B01602"/>
    <w:rsid w:val="00B04394"/>
    <w:rsid w:val="00B04E27"/>
    <w:rsid w:val="00B05030"/>
    <w:rsid w:val="00B05A56"/>
    <w:rsid w:val="00B05CEC"/>
    <w:rsid w:val="00B05E06"/>
    <w:rsid w:val="00B060FB"/>
    <w:rsid w:val="00B06DDE"/>
    <w:rsid w:val="00B07267"/>
    <w:rsid w:val="00B07272"/>
    <w:rsid w:val="00B073B4"/>
    <w:rsid w:val="00B10173"/>
    <w:rsid w:val="00B104B1"/>
    <w:rsid w:val="00B11515"/>
    <w:rsid w:val="00B1153D"/>
    <w:rsid w:val="00B116BE"/>
    <w:rsid w:val="00B11794"/>
    <w:rsid w:val="00B11804"/>
    <w:rsid w:val="00B11949"/>
    <w:rsid w:val="00B11D3A"/>
    <w:rsid w:val="00B11EA0"/>
    <w:rsid w:val="00B11F1B"/>
    <w:rsid w:val="00B12C39"/>
    <w:rsid w:val="00B139EF"/>
    <w:rsid w:val="00B13BFA"/>
    <w:rsid w:val="00B13F17"/>
    <w:rsid w:val="00B14535"/>
    <w:rsid w:val="00B15337"/>
    <w:rsid w:val="00B15FCA"/>
    <w:rsid w:val="00B162C7"/>
    <w:rsid w:val="00B1642F"/>
    <w:rsid w:val="00B17B02"/>
    <w:rsid w:val="00B17BE0"/>
    <w:rsid w:val="00B17CF3"/>
    <w:rsid w:val="00B209A4"/>
    <w:rsid w:val="00B20CF3"/>
    <w:rsid w:val="00B21AF0"/>
    <w:rsid w:val="00B21E7F"/>
    <w:rsid w:val="00B21F20"/>
    <w:rsid w:val="00B22AD8"/>
    <w:rsid w:val="00B23B22"/>
    <w:rsid w:val="00B23E06"/>
    <w:rsid w:val="00B244F9"/>
    <w:rsid w:val="00B24DBB"/>
    <w:rsid w:val="00B25828"/>
    <w:rsid w:val="00B25D1A"/>
    <w:rsid w:val="00B25F7F"/>
    <w:rsid w:val="00B26C5B"/>
    <w:rsid w:val="00B27048"/>
    <w:rsid w:val="00B27130"/>
    <w:rsid w:val="00B278C3"/>
    <w:rsid w:val="00B30DAA"/>
    <w:rsid w:val="00B318D5"/>
    <w:rsid w:val="00B32120"/>
    <w:rsid w:val="00B3333D"/>
    <w:rsid w:val="00B33A95"/>
    <w:rsid w:val="00B33D09"/>
    <w:rsid w:val="00B34354"/>
    <w:rsid w:val="00B34522"/>
    <w:rsid w:val="00B347C3"/>
    <w:rsid w:val="00B34E4B"/>
    <w:rsid w:val="00B35794"/>
    <w:rsid w:val="00B35BA6"/>
    <w:rsid w:val="00B40022"/>
    <w:rsid w:val="00B41177"/>
    <w:rsid w:val="00B4135C"/>
    <w:rsid w:val="00B41FA0"/>
    <w:rsid w:val="00B434AA"/>
    <w:rsid w:val="00B44002"/>
    <w:rsid w:val="00B44AA1"/>
    <w:rsid w:val="00B4680C"/>
    <w:rsid w:val="00B468D6"/>
    <w:rsid w:val="00B46FA2"/>
    <w:rsid w:val="00B474D4"/>
    <w:rsid w:val="00B47693"/>
    <w:rsid w:val="00B47BCF"/>
    <w:rsid w:val="00B51F44"/>
    <w:rsid w:val="00B52CE5"/>
    <w:rsid w:val="00B52D92"/>
    <w:rsid w:val="00B52E0B"/>
    <w:rsid w:val="00B53CA9"/>
    <w:rsid w:val="00B54384"/>
    <w:rsid w:val="00B54454"/>
    <w:rsid w:val="00B54793"/>
    <w:rsid w:val="00B555AD"/>
    <w:rsid w:val="00B5578A"/>
    <w:rsid w:val="00B565E0"/>
    <w:rsid w:val="00B5664A"/>
    <w:rsid w:val="00B5664B"/>
    <w:rsid w:val="00B56B89"/>
    <w:rsid w:val="00B5743C"/>
    <w:rsid w:val="00B610E6"/>
    <w:rsid w:val="00B613C0"/>
    <w:rsid w:val="00B6223E"/>
    <w:rsid w:val="00B62D44"/>
    <w:rsid w:val="00B63FFE"/>
    <w:rsid w:val="00B64E51"/>
    <w:rsid w:val="00B65FB1"/>
    <w:rsid w:val="00B67BFA"/>
    <w:rsid w:val="00B67C36"/>
    <w:rsid w:val="00B67EE6"/>
    <w:rsid w:val="00B71ACB"/>
    <w:rsid w:val="00B721FE"/>
    <w:rsid w:val="00B72889"/>
    <w:rsid w:val="00B730EC"/>
    <w:rsid w:val="00B73CBF"/>
    <w:rsid w:val="00B74044"/>
    <w:rsid w:val="00B74468"/>
    <w:rsid w:val="00B74758"/>
    <w:rsid w:val="00B748A2"/>
    <w:rsid w:val="00B7501A"/>
    <w:rsid w:val="00B7555D"/>
    <w:rsid w:val="00B7557A"/>
    <w:rsid w:val="00B75787"/>
    <w:rsid w:val="00B75ADF"/>
    <w:rsid w:val="00B76298"/>
    <w:rsid w:val="00B762A1"/>
    <w:rsid w:val="00B76419"/>
    <w:rsid w:val="00B76A68"/>
    <w:rsid w:val="00B77074"/>
    <w:rsid w:val="00B770C3"/>
    <w:rsid w:val="00B7785E"/>
    <w:rsid w:val="00B80D56"/>
    <w:rsid w:val="00B818FD"/>
    <w:rsid w:val="00B822A0"/>
    <w:rsid w:val="00B8280A"/>
    <w:rsid w:val="00B82878"/>
    <w:rsid w:val="00B82A79"/>
    <w:rsid w:val="00B82FE1"/>
    <w:rsid w:val="00B830E4"/>
    <w:rsid w:val="00B8317E"/>
    <w:rsid w:val="00B836DD"/>
    <w:rsid w:val="00B84964"/>
    <w:rsid w:val="00B84989"/>
    <w:rsid w:val="00B849F6"/>
    <w:rsid w:val="00B85600"/>
    <w:rsid w:val="00B85EC8"/>
    <w:rsid w:val="00B86136"/>
    <w:rsid w:val="00B86E86"/>
    <w:rsid w:val="00B86ED3"/>
    <w:rsid w:val="00B870BB"/>
    <w:rsid w:val="00B90BBA"/>
    <w:rsid w:val="00B91FD9"/>
    <w:rsid w:val="00B94CD1"/>
    <w:rsid w:val="00B94ED9"/>
    <w:rsid w:val="00B960CC"/>
    <w:rsid w:val="00B96638"/>
    <w:rsid w:val="00B96AC8"/>
    <w:rsid w:val="00B97F30"/>
    <w:rsid w:val="00B97F96"/>
    <w:rsid w:val="00BA00DB"/>
    <w:rsid w:val="00BA0284"/>
    <w:rsid w:val="00BA0327"/>
    <w:rsid w:val="00BA24AA"/>
    <w:rsid w:val="00BA266B"/>
    <w:rsid w:val="00BA2B2D"/>
    <w:rsid w:val="00BA3C2A"/>
    <w:rsid w:val="00BA5AEE"/>
    <w:rsid w:val="00BA5C8C"/>
    <w:rsid w:val="00BA6217"/>
    <w:rsid w:val="00BA6EE7"/>
    <w:rsid w:val="00BA6F20"/>
    <w:rsid w:val="00BA769C"/>
    <w:rsid w:val="00BA7CD5"/>
    <w:rsid w:val="00BB076E"/>
    <w:rsid w:val="00BB0803"/>
    <w:rsid w:val="00BB0B19"/>
    <w:rsid w:val="00BB1CD0"/>
    <w:rsid w:val="00BB1D10"/>
    <w:rsid w:val="00BB2B61"/>
    <w:rsid w:val="00BB2B76"/>
    <w:rsid w:val="00BB2BD8"/>
    <w:rsid w:val="00BB36E1"/>
    <w:rsid w:val="00BB3799"/>
    <w:rsid w:val="00BB4264"/>
    <w:rsid w:val="00BB432E"/>
    <w:rsid w:val="00BB4431"/>
    <w:rsid w:val="00BB55C5"/>
    <w:rsid w:val="00BB5AC6"/>
    <w:rsid w:val="00BB6321"/>
    <w:rsid w:val="00BB6C49"/>
    <w:rsid w:val="00BB7A8D"/>
    <w:rsid w:val="00BC13F5"/>
    <w:rsid w:val="00BC19F2"/>
    <w:rsid w:val="00BC1C6D"/>
    <w:rsid w:val="00BC1E0A"/>
    <w:rsid w:val="00BC200F"/>
    <w:rsid w:val="00BC29B0"/>
    <w:rsid w:val="00BC2CC6"/>
    <w:rsid w:val="00BC35D1"/>
    <w:rsid w:val="00BC37D9"/>
    <w:rsid w:val="00BC390D"/>
    <w:rsid w:val="00BC3952"/>
    <w:rsid w:val="00BC3CFF"/>
    <w:rsid w:val="00BC3F50"/>
    <w:rsid w:val="00BC4504"/>
    <w:rsid w:val="00BC5470"/>
    <w:rsid w:val="00BC551A"/>
    <w:rsid w:val="00BC5664"/>
    <w:rsid w:val="00BC5BB8"/>
    <w:rsid w:val="00BC5BDA"/>
    <w:rsid w:val="00BC5E34"/>
    <w:rsid w:val="00BC609C"/>
    <w:rsid w:val="00BC62D8"/>
    <w:rsid w:val="00BC6AFE"/>
    <w:rsid w:val="00BC700A"/>
    <w:rsid w:val="00BC76F3"/>
    <w:rsid w:val="00BD01A9"/>
    <w:rsid w:val="00BD02BF"/>
    <w:rsid w:val="00BD0895"/>
    <w:rsid w:val="00BD08BF"/>
    <w:rsid w:val="00BD0EE8"/>
    <w:rsid w:val="00BD1535"/>
    <w:rsid w:val="00BD2729"/>
    <w:rsid w:val="00BD2762"/>
    <w:rsid w:val="00BD2C75"/>
    <w:rsid w:val="00BD36C6"/>
    <w:rsid w:val="00BD455F"/>
    <w:rsid w:val="00BD52DE"/>
    <w:rsid w:val="00BD547D"/>
    <w:rsid w:val="00BD613B"/>
    <w:rsid w:val="00BD624B"/>
    <w:rsid w:val="00BE015D"/>
    <w:rsid w:val="00BE1780"/>
    <w:rsid w:val="00BE243E"/>
    <w:rsid w:val="00BE2604"/>
    <w:rsid w:val="00BE27DF"/>
    <w:rsid w:val="00BE2863"/>
    <w:rsid w:val="00BE3774"/>
    <w:rsid w:val="00BE4DAE"/>
    <w:rsid w:val="00BE5786"/>
    <w:rsid w:val="00BE6744"/>
    <w:rsid w:val="00BE6C60"/>
    <w:rsid w:val="00BE6DC1"/>
    <w:rsid w:val="00BE708D"/>
    <w:rsid w:val="00BE7275"/>
    <w:rsid w:val="00BE77AF"/>
    <w:rsid w:val="00BF033F"/>
    <w:rsid w:val="00BF049E"/>
    <w:rsid w:val="00BF0C12"/>
    <w:rsid w:val="00BF0ED9"/>
    <w:rsid w:val="00BF11AF"/>
    <w:rsid w:val="00BF1551"/>
    <w:rsid w:val="00BF15F0"/>
    <w:rsid w:val="00BF1A72"/>
    <w:rsid w:val="00BF21E7"/>
    <w:rsid w:val="00BF2A09"/>
    <w:rsid w:val="00BF3775"/>
    <w:rsid w:val="00BF3889"/>
    <w:rsid w:val="00BF4B69"/>
    <w:rsid w:val="00BF4F25"/>
    <w:rsid w:val="00BF4FEC"/>
    <w:rsid w:val="00BF509B"/>
    <w:rsid w:val="00BF5B2B"/>
    <w:rsid w:val="00BF5F73"/>
    <w:rsid w:val="00BF64DA"/>
    <w:rsid w:val="00BF6BEA"/>
    <w:rsid w:val="00BF7C94"/>
    <w:rsid w:val="00C01042"/>
    <w:rsid w:val="00C0293C"/>
    <w:rsid w:val="00C02EE2"/>
    <w:rsid w:val="00C02F95"/>
    <w:rsid w:val="00C03C37"/>
    <w:rsid w:val="00C0442E"/>
    <w:rsid w:val="00C04919"/>
    <w:rsid w:val="00C04ACE"/>
    <w:rsid w:val="00C07161"/>
    <w:rsid w:val="00C07721"/>
    <w:rsid w:val="00C07A7E"/>
    <w:rsid w:val="00C07B35"/>
    <w:rsid w:val="00C110C3"/>
    <w:rsid w:val="00C1135B"/>
    <w:rsid w:val="00C11F84"/>
    <w:rsid w:val="00C12599"/>
    <w:rsid w:val="00C12A4C"/>
    <w:rsid w:val="00C12B05"/>
    <w:rsid w:val="00C12E5E"/>
    <w:rsid w:val="00C13162"/>
    <w:rsid w:val="00C1369D"/>
    <w:rsid w:val="00C13C1A"/>
    <w:rsid w:val="00C13CC1"/>
    <w:rsid w:val="00C14845"/>
    <w:rsid w:val="00C14AD0"/>
    <w:rsid w:val="00C151EB"/>
    <w:rsid w:val="00C1595A"/>
    <w:rsid w:val="00C15C8D"/>
    <w:rsid w:val="00C15CE1"/>
    <w:rsid w:val="00C15DEE"/>
    <w:rsid w:val="00C15EF5"/>
    <w:rsid w:val="00C1602F"/>
    <w:rsid w:val="00C167C3"/>
    <w:rsid w:val="00C16FA1"/>
    <w:rsid w:val="00C17A65"/>
    <w:rsid w:val="00C17C92"/>
    <w:rsid w:val="00C20B26"/>
    <w:rsid w:val="00C21110"/>
    <w:rsid w:val="00C2111B"/>
    <w:rsid w:val="00C21B90"/>
    <w:rsid w:val="00C22824"/>
    <w:rsid w:val="00C2292C"/>
    <w:rsid w:val="00C23394"/>
    <w:rsid w:val="00C23AB8"/>
    <w:rsid w:val="00C2434E"/>
    <w:rsid w:val="00C24796"/>
    <w:rsid w:val="00C255FD"/>
    <w:rsid w:val="00C256A8"/>
    <w:rsid w:val="00C25911"/>
    <w:rsid w:val="00C25BB3"/>
    <w:rsid w:val="00C25E49"/>
    <w:rsid w:val="00C271E8"/>
    <w:rsid w:val="00C2763B"/>
    <w:rsid w:val="00C301BE"/>
    <w:rsid w:val="00C307B8"/>
    <w:rsid w:val="00C317C1"/>
    <w:rsid w:val="00C318C7"/>
    <w:rsid w:val="00C31DB0"/>
    <w:rsid w:val="00C32319"/>
    <w:rsid w:val="00C32624"/>
    <w:rsid w:val="00C32DCE"/>
    <w:rsid w:val="00C334A4"/>
    <w:rsid w:val="00C338B0"/>
    <w:rsid w:val="00C34030"/>
    <w:rsid w:val="00C34A25"/>
    <w:rsid w:val="00C34A28"/>
    <w:rsid w:val="00C35586"/>
    <w:rsid w:val="00C3570E"/>
    <w:rsid w:val="00C36551"/>
    <w:rsid w:val="00C40D44"/>
    <w:rsid w:val="00C411BF"/>
    <w:rsid w:val="00C413E6"/>
    <w:rsid w:val="00C4145D"/>
    <w:rsid w:val="00C4161E"/>
    <w:rsid w:val="00C41758"/>
    <w:rsid w:val="00C4181B"/>
    <w:rsid w:val="00C41A08"/>
    <w:rsid w:val="00C41FAC"/>
    <w:rsid w:val="00C42B74"/>
    <w:rsid w:val="00C42BE8"/>
    <w:rsid w:val="00C43F80"/>
    <w:rsid w:val="00C443FD"/>
    <w:rsid w:val="00C445DD"/>
    <w:rsid w:val="00C44C9B"/>
    <w:rsid w:val="00C45F83"/>
    <w:rsid w:val="00C4679F"/>
    <w:rsid w:val="00C46E21"/>
    <w:rsid w:val="00C473DF"/>
    <w:rsid w:val="00C4786B"/>
    <w:rsid w:val="00C479AD"/>
    <w:rsid w:val="00C47DCA"/>
    <w:rsid w:val="00C47F10"/>
    <w:rsid w:val="00C5209F"/>
    <w:rsid w:val="00C52546"/>
    <w:rsid w:val="00C52762"/>
    <w:rsid w:val="00C52AF9"/>
    <w:rsid w:val="00C559FB"/>
    <w:rsid w:val="00C564A1"/>
    <w:rsid w:val="00C56563"/>
    <w:rsid w:val="00C576A7"/>
    <w:rsid w:val="00C57706"/>
    <w:rsid w:val="00C60667"/>
    <w:rsid w:val="00C60E75"/>
    <w:rsid w:val="00C61744"/>
    <w:rsid w:val="00C61A29"/>
    <w:rsid w:val="00C63478"/>
    <w:rsid w:val="00C63F8F"/>
    <w:rsid w:val="00C64212"/>
    <w:rsid w:val="00C64391"/>
    <w:rsid w:val="00C661E2"/>
    <w:rsid w:val="00C66AA6"/>
    <w:rsid w:val="00C67421"/>
    <w:rsid w:val="00C677AD"/>
    <w:rsid w:val="00C67E8C"/>
    <w:rsid w:val="00C70C80"/>
    <w:rsid w:val="00C71B14"/>
    <w:rsid w:val="00C72477"/>
    <w:rsid w:val="00C72875"/>
    <w:rsid w:val="00C73192"/>
    <w:rsid w:val="00C73A3F"/>
    <w:rsid w:val="00C74BD1"/>
    <w:rsid w:val="00C808A1"/>
    <w:rsid w:val="00C80E41"/>
    <w:rsid w:val="00C81F90"/>
    <w:rsid w:val="00C82D35"/>
    <w:rsid w:val="00C835FF"/>
    <w:rsid w:val="00C8399D"/>
    <w:rsid w:val="00C8515C"/>
    <w:rsid w:val="00C85612"/>
    <w:rsid w:val="00C85C8C"/>
    <w:rsid w:val="00C864AD"/>
    <w:rsid w:val="00C8662A"/>
    <w:rsid w:val="00C868A9"/>
    <w:rsid w:val="00C86946"/>
    <w:rsid w:val="00C87708"/>
    <w:rsid w:val="00C87D17"/>
    <w:rsid w:val="00C901A8"/>
    <w:rsid w:val="00C912A5"/>
    <w:rsid w:val="00C91A15"/>
    <w:rsid w:val="00C921C0"/>
    <w:rsid w:val="00C923EE"/>
    <w:rsid w:val="00C92971"/>
    <w:rsid w:val="00C9422F"/>
    <w:rsid w:val="00C950EA"/>
    <w:rsid w:val="00C95182"/>
    <w:rsid w:val="00C952E3"/>
    <w:rsid w:val="00C958D0"/>
    <w:rsid w:val="00C95939"/>
    <w:rsid w:val="00C95A49"/>
    <w:rsid w:val="00C963FA"/>
    <w:rsid w:val="00C96469"/>
    <w:rsid w:val="00C975E9"/>
    <w:rsid w:val="00C97CC0"/>
    <w:rsid w:val="00CA00E5"/>
    <w:rsid w:val="00CA07B5"/>
    <w:rsid w:val="00CA10AA"/>
    <w:rsid w:val="00CA1891"/>
    <w:rsid w:val="00CA1ACD"/>
    <w:rsid w:val="00CA1F64"/>
    <w:rsid w:val="00CA2931"/>
    <w:rsid w:val="00CA2CC0"/>
    <w:rsid w:val="00CA331B"/>
    <w:rsid w:val="00CA3F38"/>
    <w:rsid w:val="00CA4384"/>
    <w:rsid w:val="00CA4395"/>
    <w:rsid w:val="00CA4A49"/>
    <w:rsid w:val="00CA4B4F"/>
    <w:rsid w:val="00CA544F"/>
    <w:rsid w:val="00CA54A3"/>
    <w:rsid w:val="00CA5567"/>
    <w:rsid w:val="00CA58F7"/>
    <w:rsid w:val="00CA5997"/>
    <w:rsid w:val="00CA5C46"/>
    <w:rsid w:val="00CA5C95"/>
    <w:rsid w:val="00CA62BD"/>
    <w:rsid w:val="00CA6632"/>
    <w:rsid w:val="00CA6D78"/>
    <w:rsid w:val="00CA738F"/>
    <w:rsid w:val="00CA7583"/>
    <w:rsid w:val="00CA7891"/>
    <w:rsid w:val="00CA7B53"/>
    <w:rsid w:val="00CB0C12"/>
    <w:rsid w:val="00CB19CD"/>
    <w:rsid w:val="00CB1A41"/>
    <w:rsid w:val="00CB23D7"/>
    <w:rsid w:val="00CB2AF1"/>
    <w:rsid w:val="00CB3A51"/>
    <w:rsid w:val="00CB3F03"/>
    <w:rsid w:val="00CB4333"/>
    <w:rsid w:val="00CB5323"/>
    <w:rsid w:val="00CB56C9"/>
    <w:rsid w:val="00CB5911"/>
    <w:rsid w:val="00CB6DCC"/>
    <w:rsid w:val="00CB7CAD"/>
    <w:rsid w:val="00CC02BC"/>
    <w:rsid w:val="00CC0307"/>
    <w:rsid w:val="00CC0867"/>
    <w:rsid w:val="00CC08E5"/>
    <w:rsid w:val="00CC0BA2"/>
    <w:rsid w:val="00CC2256"/>
    <w:rsid w:val="00CC22F6"/>
    <w:rsid w:val="00CC267A"/>
    <w:rsid w:val="00CC2734"/>
    <w:rsid w:val="00CC2BDC"/>
    <w:rsid w:val="00CC32EA"/>
    <w:rsid w:val="00CC461C"/>
    <w:rsid w:val="00CC49DF"/>
    <w:rsid w:val="00CC4FCA"/>
    <w:rsid w:val="00CC5138"/>
    <w:rsid w:val="00CC52D6"/>
    <w:rsid w:val="00CC55CE"/>
    <w:rsid w:val="00CC64A9"/>
    <w:rsid w:val="00CC6D6A"/>
    <w:rsid w:val="00CC7265"/>
    <w:rsid w:val="00CC73EF"/>
    <w:rsid w:val="00CC7700"/>
    <w:rsid w:val="00CC7819"/>
    <w:rsid w:val="00CC7F86"/>
    <w:rsid w:val="00CC7FF3"/>
    <w:rsid w:val="00CD0DD9"/>
    <w:rsid w:val="00CD11A2"/>
    <w:rsid w:val="00CD173B"/>
    <w:rsid w:val="00CD2938"/>
    <w:rsid w:val="00CD5370"/>
    <w:rsid w:val="00CD57EC"/>
    <w:rsid w:val="00CD5947"/>
    <w:rsid w:val="00CD5A26"/>
    <w:rsid w:val="00CD5F76"/>
    <w:rsid w:val="00CD6697"/>
    <w:rsid w:val="00CD6CF0"/>
    <w:rsid w:val="00CD6FC7"/>
    <w:rsid w:val="00CE0229"/>
    <w:rsid w:val="00CE070C"/>
    <w:rsid w:val="00CE10EB"/>
    <w:rsid w:val="00CE1100"/>
    <w:rsid w:val="00CE1991"/>
    <w:rsid w:val="00CE1D1C"/>
    <w:rsid w:val="00CE291D"/>
    <w:rsid w:val="00CE369B"/>
    <w:rsid w:val="00CE40BF"/>
    <w:rsid w:val="00CE42BA"/>
    <w:rsid w:val="00CE4B1A"/>
    <w:rsid w:val="00CE5458"/>
    <w:rsid w:val="00CE5469"/>
    <w:rsid w:val="00CE5798"/>
    <w:rsid w:val="00CE5BB6"/>
    <w:rsid w:val="00CE5C05"/>
    <w:rsid w:val="00CE5CFB"/>
    <w:rsid w:val="00CE6812"/>
    <w:rsid w:val="00CE6C46"/>
    <w:rsid w:val="00CE6D7E"/>
    <w:rsid w:val="00CE70F7"/>
    <w:rsid w:val="00CE7795"/>
    <w:rsid w:val="00CF005F"/>
    <w:rsid w:val="00CF095E"/>
    <w:rsid w:val="00CF10DB"/>
    <w:rsid w:val="00CF113C"/>
    <w:rsid w:val="00CF17C1"/>
    <w:rsid w:val="00CF1AAE"/>
    <w:rsid w:val="00CF1D6A"/>
    <w:rsid w:val="00CF1FCA"/>
    <w:rsid w:val="00CF2591"/>
    <w:rsid w:val="00CF355B"/>
    <w:rsid w:val="00CF37A5"/>
    <w:rsid w:val="00CF47A4"/>
    <w:rsid w:val="00CF494C"/>
    <w:rsid w:val="00CF4F02"/>
    <w:rsid w:val="00CF584F"/>
    <w:rsid w:val="00CF6339"/>
    <w:rsid w:val="00CF6E4A"/>
    <w:rsid w:val="00CF7364"/>
    <w:rsid w:val="00CF7FD8"/>
    <w:rsid w:val="00D0009A"/>
    <w:rsid w:val="00D01646"/>
    <w:rsid w:val="00D02982"/>
    <w:rsid w:val="00D02FDC"/>
    <w:rsid w:val="00D034DD"/>
    <w:rsid w:val="00D03ED0"/>
    <w:rsid w:val="00D04708"/>
    <w:rsid w:val="00D050C4"/>
    <w:rsid w:val="00D0586A"/>
    <w:rsid w:val="00D06950"/>
    <w:rsid w:val="00D1062F"/>
    <w:rsid w:val="00D1124E"/>
    <w:rsid w:val="00D1147B"/>
    <w:rsid w:val="00D11955"/>
    <w:rsid w:val="00D1218C"/>
    <w:rsid w:val="00D1269D"/>
    <w:rsid w:val="00D13838"/>
    <w:rsid w:val="00D13A3D"/>
    <w:rsid w:val="00D148B7"/>
    <w:rsid w:val="00D14C5F"/>
    <w:rsid w:val="00D15518"/>
    <w:rsid w:val="00D15884"/>
    <w:rsid w:val="00D16530"/>
    <w:rsid w:val="00D16D24"/>
    <w:rsid w:val="00D16FC6"/>
    <w:rsid w:val="00D1718B"/>
    <w:rsid w:val="00D17275"/>
    <w:rsid w:val="00D17A8D"/>
    <w:rsid w:val="00D203BA"/>
    <w:rsid w:val="00D20428"/>
    <w:rsid w:val="00D21DA2"/>
    <w:rsid w:val="00D21E5C"/>
    <w:rsid w:val="00D227A3"/>
    <w:rsid w:val="00D22D89"/>
    <w:rsid w:val="00D236F8"/>
    <w:rsid w:val="00D23D88"/>
    <w:rsid w:val="00D23DE6"/>
    <w:rsid w:val="00D245E1"/>
    <w:rsid w:val="00D2646B"/>
    <w:rsid w:val="00D26E12"/>
    <w:rsid w:val="00D26F23"/>
    <w:rsid w:val="00D30259"/>
    <w:rsid w:val="00D30829"/>
    <w:rsid w:val="00D309BF"/>
    <w:rsid w:val="00D31726"/>
    <w:rsid w:val="00D31A10"/>
    <w:rsid w:val="00D31C39"/>
    <w:rsid w:val="00D331EC"/>
    <w:rsid w:val="00D3387E"/>
    <w:rsid w:val="00D33F4F"/>
    <w:rsid w:val="00D34874"/>
    <w:rsid w:val="00D34DFE"/>
    <w:rsid w:val="00D351F5"/>
    <w:rsid w:val="00D35203"/>
    <w:rsid w:val="00D3637C"/>
    <w:rsid w:val="00D36580"/>
    <w:rsid w:val="00D36ACA"/>
    <w:rsid w:val="00D376F2"/>
    <w:rsid w:val="00D377AB"/>
    <w:rsid w:val="00D37AEC"/>
    <w:rsid w:val="00D42698"/>
    <w:rsid w:val="00D42B8C"/>
    <w:rsid w:val="00D43079"/>
    <w:rsid w:val="00D4339C"/>
    <w:rsid w:val="00D43C4C"/>
    <w:rsid w:val="00D43D15"/>
    <w:rsid w:val="00D44C58"/>
    <w:rsid w:val="00D44C6E"/>
    <w:rsid w:val="00D4522D"/>
    <w:rsid w:val="00D45A16"/>
    <w:rsid w:val="00D45A56"/>
    <w:rsid w:val="00D45ABA"/>
    <w:rsid w:val="00D47507"/>
    <w:rsid w:val="00D4755B"/>
    <w:rsid w:val="00D50945"/>
    <w:rsid w:val="00D51713"/>
    <w:rsid w:val="00D51851"/>
    <w:rsid w:val="00D523D5"/>
    <w:rsid w:val="00D526EA"/>
    <w:rsid w:val="00D52796"/>
    <w:rsid w:val="00D5293D"/>
    <w:rsid w:val="00D52AAC"/>
    <w:rsid w:val="00D531E0"/>
    <w:rsid w:val="00D533FA"/>
    <w:rsid w:val="00D543BC"/>
    <w:rsid w:val="00D54ED3"/>
    <w:rsid w:val="00D55192"/>
    <w:rsid w:val="00D5536E"/>
    <w:rsid w:val="00D554C2"/>
    <w:rsid w:val="00D55774"/>
    <w:rsid w:val="00D561BB"/>
    <w:rsid w:val="00D565AA"/>
    <w:rsid w:val="00D570DB"/>
    <w:rsid w:val="00D57494"/>
    <w:rsid w:val="00D60498"/>
    <w:rsid w:val="00D61786"/>
    <w:rsid w:val="00D61838"/>
    <w:rsid w:val="00D61AA7"/>
    <w:rsid w:val="00D61FA4"/>
    <w:rsid w:val="00D61FB3"/>
    <w:rsid w:val="00D62A07"/>
    <w:rsid w:val="00D62A33"/>
    <w:rsid w:val="00D62BC5"/>
    <w:rsid w:val="00D62ED8"/>
    <w:rsid w:val="00D62EE2"/>
    <w:rsid w:val="00D630C7"/>
    <w:rsid w:val="00D6328F"/>
    <w:rsid w:val="00D63B39"/>
    <w:rsid w:val="00D642F8"/>
    <w:rsid w:val="00D64EE4"/>
    <w:rsid w:val="00D66928"/>
    <w:rsid w:val="00D66CDE"/>
    <w:rsid w:val="00D672C4"/>
    <w:rsid w:val="00D677F7"/>
    <w:rsid w:val="00D7062E"/>
    <w:rsid w:val="00D70843"/>
    <w:rsid w:val="00D70AA1"/>
    <w:rsid w:val="00D70DD7"/>
    <w:rsid w:val="00D7125C"/>
    <w:rsid w:val="00D71468"/>
    <w:rsid w:val="00D71F79"/>
    <w:rsid w:val="00D724FB"/>
    <w:rsid w:val="00D72D86"/>
    <w:rsid w:val="00D7325C"/>
    <w:rsid w:val="00D74C95"/>
    <w:rsid w:val="00D75758"/>
    <w:rsid w:val="00D76359"/>
    <w:rsid w:val="00D766DF"/>
    <w:rsid w:val="00D76BD4"/>
    <w:rsid w:val="00D76C7D"/>
    <w:rsid w:val="00D7746E"/>
    <w:rsid w:val="00D806F4"/>
    <w:rsid w:val="00D80723"/>
    <w:rsid w:val="00D80819"/>
    <w:rsid w:val="00D80B56"/>
    <w:rsid w:val="00D835D9"/>
    <w:rsid w:val="00D84715"/>
    <w:rsid w:val="00D847FD"/>
    <w:rsid w:val="00D849A3"/>
    <w:rsid w:val="00D8650F"/>
    <w:rsid w:val="00D867AA"/>
    <w:rsid w:val="00D86A20"/>
    <w:rsid w:val="00D86A55"/>
    <w:rsid w:val="00D86A7E"/>
    <w:rsid w:val="00D86C28"/>
    <w:rsid w:val="00D87264"/>
    <w:rsid w:val="00D87BF6"/>
    <w:rsid w:val="00D87D53"/>
    <w:rsid w:val="00D90791"/>
    <w:rsid w:val="00D9093A"/>
    <w:rsid w:val="00D90C3D"/>
    <w:rsid w:val="00D9185A"/>
    <w:rsid w:val="00D918DF"/>
    <w:rsid w:val="00D91F73"/>
    <w:rsid w:val="00D93196"/>
    <w:rsid w:val="00D93562"/>
    <w:rsid w:val="00D95435"/>
    <w:rsid w:val="00D95BF8"/>
    <w:rsid w:val="00D962E8"/>
    <w:rsid w:val="00D96408"/>
    <w:rsid w:val="00D96D64"/>
    <w:rsid w:val="00D9714A"/>
    <w:rsid w:val="00D97A7E"/>
    <w:rsid w:val="00DA0423"/>
    <w:rsid w:val="00DA11FB"/>
    <w:rsid w:val="00DA19E9"/>
    <w:rsid w:val="00DA1F57"/>
    <w:rsid w:val="00DA27E3"/>
    <w:rsid w:val="00DA2FBE"/>
    <w:rsid w:val="00DA437B"/>
    <w:rsid w:val="00DA463E"/>
    <w:rsid w:val="00DA4F65"/>
    <w:rsid w:val="00DA64C4"/>
    <w:rsid w:val="00DA72DA"/>
    <w:rsid w:val="00DB08CD"/>
    <w:rsid w:val="00DB0A95"/>
    <w:rsid w:val="00DB0D63"/>
    <w:rsid w:val="00DB0F55"/>
    <w:rsid w:val="00DB1496"/>
    <w:rsid w:val="00DB1F61"/>
    <w:rsid w:val="00DB1F6F"/>
    <w:rsid w:val="00DB3BA9"/>
    <w:rsid w:val="00DB3D1E"/>
    <w:rsid w:val="00DB3FAD"/>
    <w:rsid w:val="00DB47AB"/>
    <w:rsid w:val="00DB62D2"/>
    <w:rsid w:val="00DB67E7"/>
    <w:rsid w:val="00DB6AC9"/>
    <w:rsid w:val="00DB6B02"/>
    <w:rsid w:val="00DB70B1"/>
    <w:rsid w:val="00DB7117"/>
    <w:rsid w:val="00DB7152"/>
    <w:rsid w:val="00DB799B"/>
    <w:rsid w:val="00DC09DF"/>
    <w:rsid w:val="00DC0BDB"/>
    <w:rsid w:val="00DC1AD3"/>
    <w:rsid w:val="00DC1DA0"/>
    <w:rsid w:val="00DC21CF"/>
    <w:rsid w:val="00DC26A3"/>
    <w:rsid w:val="00DC2EEB"/>
    <w:rsid w:val="00DC4741"/>
    <w:rsid w:val="00DC4E17"/>
    <w:rsid w:val="00DC5AAB"/>
    <w:rsid w:val="00DC5B84"/>
    <w:rsid w:val="00DC62E0"/>
    <w:rsid w:val="00DD00FD"/>
    <w:rsid w:val="00DD03B0"/>
    <w:rsid w:val="00DD1263"/>
    <w:rsid w:val="00DD1778"/>
    <w:rsid w:val="00DD1DFD"/>
    <w:rsid w:val="00DD2892"/>
    <w:rsid w:val="00DD2FBF"/>
    <w:rsid w:val="00DD3594"/>
    <w:rsid w:val="00DD3EE2"/>
    <w:rsid w:val="00DD41DB"/>
    <w:rsid w:val="00DD485C"/>
    <w:rsid w:val="00DD5127"/>
    <w:rsid w:val="00DD54BA"/>
    <w:rsid w:val="00DD583E"/>
    <w:rsid w:val="00DD5F09"/>
    <w:rsid w:val="00DD67D6"/>
    <w:rsid w:val="00DD67E0"/>
    <w:rsid w:val="00DD7227"/>
    <w:rsid w:val="00DD72CB"/>
    <w:rsid w:val="00DE0080"/>
    <w:rsid w:val="00DE06E6"/>
    <w:rsid w:val="00DE07DB"/>
    <w:rsid w:val="00DE0D06"/>
    <w:rsid w:val="00DE0EA0"/>
    <w:rsid w:val="00DE10D6"/>
    <w:rsid w:val="00DE17F9"/>
    <w:rsid w:val="00DE1814"/>
    <w:rsid w:val="00DE18B7"/>
    <w:rsid w:val="00DE308A"/>
    <w:rsid w:val="00DE3C00"/>
    <w:rsid w:val="00DE3CC0"/>
    <w:rsid w:val="00DE41BF"/>
    <w:rsid w:val="00DE450F"/>
    <w:rsid w:val="00DE471A"/>
    <w:rsid w:val="00DE5560"/>
    <w:rsid w:val="00DE6606"/>
    <w:rsid w:val="00DE6AD7"/>
    <w:rsid w:val="00DE6B0A"/>
    <w:rsid w:val="00DE714E"/>
    <w:rsid w:val="00DE75BF"/>
    <w:rsid w:val="00DE76B8"/>
    <w:rsid w:val="00DE7C91"/>
    <w:rsid w:val="00DF04BD"/>
    <w:rsid w:val="00DF0B08"/>
    <w:rsid w:val="00DF12CA"/>
    <w:rsid w:val="00DF16F9"/>
    <w:rsid w:val="00DF1E3C"/>
    <w:rsid w:val="00DF1FB2"/>
    <w:rsid w:val="00DF292F"/>
    <w:rsid w:val="00DF2E86"/>
    <w:rsid w:val="00DF409F"/>
    <w:rsid w:val="00DF49E3"/>
    <w:rsid w:val="00DF5039"/>
    <w:rsid w:val="00DF53FE"/>
    <w:rsid w:val="00DF63A0"/>
    <w:rsid w:val="00DF643B"/>
    <w:rsid w:val="00DF685A"/>
    <w:rsid w:val="00DF7176"/>
    <w:rsid w:val="00DF7490"/>
    <w:rsid w:val="00DF7978"/>
    <w:rsid w:val="00E009D8"/>
    <w:rsid w:val="00E01A37"/>
    <w:rsid w:val="00E0207A"/>
    <w:rsid w:val="00E0369F"/>
    <w:rsid w:val="00E04520"/>
    <w:rsid w:val="00E047BF"/>
    <w:rsid w:val="00E05B08"/>
    <w:rsid w:val="00E06098"/>
    <w:rsid w:val="00E060DB"/>
    <w:rsid w:val="00E06773"/>
    <w:rsid w:val="00E072ED"/>
    <w:rsid w:val="00E07447"/>
    <w:rsid w:val="00E07C00"/>
    <w:rsid w:val="00E07CC1"/>
    <w:rsid w:val="00E11E8B"/>
    <w:rsid w:val="00E12462"/>
    <w:rsid w:val="00E12610"/>
    <w:rsid w:val="00E12767"/>
    <w:rsid w:val="00E1281C"/>
    <w:rsid w:val="00E12B0C"/>
    <w:rsid w:val="00E13344"/>
    <w:rsid w:val="00E14379"/>
    <w:rsid w:val="00E14E62"/>
    <w:rsid w:val="00E1566C"/>
    <w:rsid w:val="00E15A33"/>
    <w:rsid w:val="00E15A80"/>
    <w:rsid w:val="00E15D0B"/>
    <w:rsid w:val="00E1610A"/>
    <w:rsid w:val="00E20654"/>
    <w:rsid w:val="00E20E0B"/>
    <w:rsid w:val="00E212D7"/>
    <w:rsid w:val="00E2199A"/>
    <w:rsid w:val="00E227CF"/>
    <w:rsid w:val="00E23135"/>
    <w:rsid w:val="00E2340C"/>
    <w:rsid w:val="00E23ECC"/>
    <w:rsid w:val="00E26B6D"/>
    <w:rsid w:val="00E26CCE"/>
    <w:rsid w:val="00E27307"/>
    <w:rsid w:val="00E27361"/>
    <w:rsid w:val="00E279D8"/>
    <w:rsid w:val="00E30648"/>
    <w:rsid w:val="00E3137A"/>
    <w:rsid w:val="00E31467"/>
    <w:rsid w:val="00E31FAE"/>
    <w:rsid w:val="00E32ADE"/>
    <w:rsid w:val="00E32C1A"/>
    <w:rsid w:val="00E32D6A"/>
    <w:rsid w:val="00E32FA8"/>
    <w:rsid w:val="00E33217"/>
    <w:rsid w:val="00E338CB"/>
    <w:rsid w:val="00E342E7"/>
    <w:rsid w:val="00E35208"/>
    <w:rsid w:val="00E36006"/>
    <w:rsid w:val="00E3633A"/>
    <w:rsid w:val="00E36733"/>
    <w:rsid w:val="00E368A1"/>
    <w:rsid w:val="00E373D9"/>
    <w:rsid w:val="00E378F2"/>
    <w:rsid w:val="00E37B78"/>
    <w:rsid w:val="00E41FCD"/>
    <w:rsid w:val="00E42B3D"/>
    <w:rsid w:val="00E43477"/>
    <w:rsid w:val="00E4471F"/>
    <w:rsid w:val="00E448BB"/>
    <w:rsid w:val="00E456E4"/>
    <w:rsid w:val="00E45A6F"/>
    <w:rsid w:val="00E460CB"/>
    <w:rsid w:val="00E462E9"/>
    <w:rsid w:val="00E46755"/>
    <w:rsid w:val="00E46EDD"/>
    <w:rsid w:val="00E47009"/>
    <w:rsid w:val="00E47277"/>
    <w:rsid w:val="00E477D2"/>
    <w:rsid w:val="00E47BA5"/>
    <w:rsid w:val="00E47E14"/>
    <w:rsid w:val="00E50071"/>
    <w:rsid w:val="00E50574"/>
    <w:rsid w:val="00E50682"/>
    <w:rsid w:val="00E5232F"/>
    <w:rsid w:val="00E53553"/>
    <w:rsid w:val="00E5443B"/>
    <w:rsid w:val="00E545D8"/>
    <w:rsid w:val="00E54FAB"/>
    <w:rsid w:val="00E55836"/>
    <w:rsid w:val="00E56801"/>
    <w:rsid w:val="00E56BB9"/>
    <w:rsid w:val="00E612C6"/>
    <w:rsid w:val="00E61CC4"/>
    <w:rsid w:val="00E62420"/>
    <w:rsid w:val="00E62C64"/>
    <w:rsid w:val="00E63E4A"/>
    <w:rsid w:val="00E64170"/>
    <w:rsid w:val="00E64430"/>
    <w:rsid w:val="00E64866"/>
    <w:rsid w:val="00E64E2D"/>
    <w:rsid w:val="00E650EC"/>
    <w:rsid w:val="00E6554A"/>
    <w:rsid w:val="00E65C32"/>
    <w:rsid w:val="00E65F77"/>
    <w:rsid w:val="00E665D0"/>
    <w:rsid w:val="00E6759D"/>
    <w:rsid w:val="00E67618"/>
    <w:rsid w:val="00E67929"/>
    <w:rsid w:val="00E70799"/>
    <w:rsid w:val="00E71A62"/>
    <w:rsid w:val="00E71F11"/>
    <w:rsid w:val="00E72580"/>
    <w:rsid w:val="00E72D8A"/>
    <w:rsid w:val="00E732C4"/>
    <w:rsid w:val="00E73D4D"/>
    <w:rsid w:val="00E7416F"/>
    <w:rsid w:val="00E74EA5"/>
    <w:rsid w:val="00E75142"/>
    <w:rsid w:val="00E753DC"/>
    <w:rsid w:val="00E7642B"/>
    <w:rsid w:val="00E76527"/>
    <w:rsid w:val="00E766AF"/>
    <w:rsid w:val="00E808D9"/>
    <w:rsid w:val="00E83596"/>
    <w:rsid w:val="00E83CFA"/>
    <w:rsid w:val="00E84D44"/>
    <w:rsid w:val="00E8562C"/>
    <w:rsid w:val="00E8697A"/>
    <w:rsid w:val="00E874A2"/>
    <w:rsid w:val="00E876D0"/>
    <w:rsid w:val="00E90398"/>
    <w:rsid w:val="00E9099D"/>
    <w:rsid w:val="00E912C9"/>
    <w:rsid w:val="00E91973"/>
    <w:rsid w:val="00E92283"/>
    <w:rsid w:val="00E928E5"/>
    <w:rsid w:val="00E92B6D"/>
    <w:rsid w:val="00E9339B"/>
    <w:rsid w:val="00E93600"/>
    <w:rsid w:val="00E941D9"/>
    <w:rsid w:val="00E945DA"/>
    <w:rsid w:val="00E94640"/>
    <w:rsid w:val="00E94DA4"/>
    <w:rsid w:val="00E950BE"/>
    <w:rsid w:val="00E953E7"/>
    <w:rsid w:val="00E959DC"/>
    <w:rsid w:val="00E959E8"/>
    <w:rsid w:val="00E95BFE"/>
    <w:rsid w:val="00E95F32"/>
    <w:rsid w:val="00E9617D"/>
    <w:rsid w:val="00E9775A"/>
    <w:rsid w:val="00EA152F"/>
    <w:rsid w:val="00EA1555"/>
    <w:rsid w:val="00EA2758"/>
    <w:rsid w:val="00EA2ACD"/>
    <w:rsid w:val="00EA2D4E"/>
    <w:rsid w:val="00EA2E78"/>
    <w:rsid w:val="00EA33F6"/>
    <w:rsid w:val="00EA3E8C"/>
    <w:rsid w:val="00EA40F1"/>
    <w:rsid w:val="00EA4150"/>
    <w:rsid w:val="00EA5F7B"/>
    <w:rsid w:val="00EA67D5"/>
    <w:rsid w:val="00EA6B28"/>
    <w:rsid w:val="00EB010C"/>
    <w:rsid w:val="00EB05F4"/>
    <w:rsid w:val="00EB0B15"/>
    <w:rsid w:val="00EB0EFB"/>
    <w:rsid w:val="00EB2DE2"/>
    <w:rsid w:val="00EB3039"/>
    <w:rsid w:val="00EB3373"/>
    <w:rsid w:val="00EB3834"/>
    <w:rsid w:val="00EB3F88"/>
    <w:rsid w:val="00EB4ED3"/>
    <w:rsid w:val="00EB5566"/>
    <w:rsid w:val="00EB5EBD"/>
    <w:rsid w:val="00EB6284"/>
    <w:rsid w:val="00EB6F3A"/>
    <w:rsid w:val="00EB706B"/>
    <w:rsid w:val="00EB7372"/>
    <w:rsid w:val="00EB757E"/>
    <w:rsid w:val="00EB7A4F"/>
    <w:rsid w:val="00EC08CF"/>
    <w:rsid w:val="00EC0CDC"/>
    <w:rsid w:val="00EC1332"/>
    <w:rsid w:val="00EC2639"/>
    <w:rsid w:val="00EC276F"/>
    <w:rsid w:val="00EC3079"/>
    <w:rsid w:val="00EC33E1"/>
    <w:rsid w:val="00EC39EF"/>
    <w:rsid w:val="00EC485D"/>
    <w:rsid w:val="00EC4AA8"/>
    <w:rsid w:val="00EC67D2"/>
    <w:rsid w:val="00EC79CC"/>
    <w:rsid w:val="00EC7A6D"/>
    <w:rsid w:val="00ED139A"/>
    <w:rsid w:val="00ED1E09"/>
    <w:rsid w:val="00ED201F"/>
    <w:rsid w:val="00ED22C3"/>
    <w:rsid w:val="00ED2AF4"/>
    <w:rsid w:val="00ED2D40"/>
    <w:rsid w:val="00ED325E"/>
    <w:rsid w:val="00ED337F"/>
    <w:rsid w:val="00ED34A7"/>
    <w:rsid w:val="00ED356C"/>
    <w:rsid w:val="00ED4127"/>
    <w:rsid w:val="00ED4C10"/>
    <w:rsid w:val="00ED5A61"/>
    <w:rsid w:val="00ED5A6C"/>
    <w:rsid w:val="00ED6632"/>
    <w:rsid w:val="00ED668C"/>
    <w:rsid w:val="00ED6BF6"/>
    <w:rsid w:val="00ED749B"/>
    <w:rsid w:val="00EE0183"/>
    <w:rsid w:val="00EE0AC7"/>
    <w:rsid w:val="00EE120E"/>
    <w:rsid w:val="00EE176C"/>
    <w:rsid w:val="00EE289E"/>
    <w:rsid w:val="00EE3466"/>
    <w:rsid w:val="00EE34F2"/>
    <w:rsid w:val="00EE43C8"/>
    <w:rsid w:val="00EE446B"/>
    <w:rsid w:val="00EE4599"/>
    <w:rsid w:val="00EE478B"/>
    <w:rsid w:val="00EE54C4"/>
    <w:rsid w:val="00EE6370"/>
    <w:rsid w:val="00EE751C"/>
    <w:rsid w:val="00EE756B"/>
    <w:rsid w:val="00EE78F6"/>
    <w:rsid w:val="00EF0357"/>
    <w:rsid w:val="00EF04A6"/>
    <w:rsid w:val="00EF0711"/>
    <w:rsid w:val="00EF22C8"/>
    <w:rsid w:val="00EF2635"/>
    <w:rsid w:val="00EF26D5"/>
    <w:rsid w:val="00EF4262"/>
    <w:rsid w:val="00EF466D"/>
    <w:rsid w:val="00EF4BBF"/>
    <w:rsid w:val="00EF4E2B"/>
    <w:rsid w:val="00EF5560"/>
    <w:rsid w:val="00EF559A"/>
    <w:rsid w:val="00EF5C3F"/>
    <w:rsid w:val="00EF5E40"/>
    <w:rsid w:val="00EF604F"/>
    <w:rsid w:val="00EF686C"/>
    <w:rsid w:val="00EF7583"/>
    <w:rsid w:val="00EF7753"/>
    <w:rsid w:val="00EF7F10"/>
    <w:rsid w:val="00F006F6"/>
    <w:rsid w:val="00F024BD"/>
    <w:rsid w:val="00F026BD"/>
    <w:rsid w:val="00F02B8F"/>
    <w:rsid w:val="00F039FC"/>
    <w:rsid w:val="00F0403A"/>
    <w:rsid w:val="00F04B83"/>
    <w:rsid w:val="00F04D1D"/>
    <w:rsid w:val="00F061C4"/>
    <w:rsid w:val="00F0661A"/>
    <w:rsid w:val="00F0703C"/>
    <w:rsid w:val="00F10124"/>
    <w:rsid w:val="00F106DC"/>
    <w:rsid w:val="00F10C31"/>
    <w:rsid w:val="00F119CF"/>
    <w:rsid w:val="00F11B71"/>
    <w:rsid w:val="00F120EB"/>
    <w:rsid w:val="00F13491"/>
    <w:rsid w:val="00F1357D"/>
    <w:rsid w:val="00F13765"/>
    <w:rsid w:val="00F13BC3"/>
    <w:rsid w:val="00F14313"/>
    <w:rsid w:val="00F147DC"/>
    <w:rsid w:val="00F15B11"/>
    <w:rsid w:val="00F15E67"/>
    <w:rsid w:val="00F16259"/>
    <w:rsid w:val="00F16341"/>
    <w:rsid w:val="00F20430"/>
    <w:rsid w:val="00F20733"/>
    <w:rsid w:val="00F20979"/>
    <w:rsid w:val="00F222DC"/>
    <w:rsid w:val="00F223D7"/>
    <w:rsid w:val="00F22F29"/>
    <w:rsid w:val="00F23263"/>
    <w:rsid w:val="00F2354F"/>
    <w:rsid w:val="00F237BA"/>
    <w:rsid w:val="00F24ABF"/>
    <w:rsid w:val="00F24ACB"/>
    <w:rsid w:val="00F24B12"/>
    <w:rsid w:val="00F24B9A"/>
    <w:rsid w:val="00F252DB"/>
    <w:rsid w:val="00F25679"/>
    <w:rsid w:val="00F2567E"/>
    <w:rsid w:val="00F26105"/>
    <w:rsid w:val="00F26369"/>
    <w:rsid w:val="00F26B57"/>
    <w:rsid w:val="00F26DB5"/>
    <w:rsid w:val="00F26E81"/>
    <w:rsid w:val="00F27068"/>
    <w:rsid w:val="00F27875"/>
    <w:rsid w:val="00F30B2E"/>
    <w:rsid w:val="00F30E75"/>
    <w:rsid w:val="00F30E8D"/>
    <w:rsid w:val="00F31A44"/>
    <w:rsid w:val="00F31FFD"/>
    <w:rsid w:val="00F32911"/>
    <w:rsid w:val="00F336E0"/>
    <w:rsid w:val="00F34BD5"/>
    <w:rsid w:val="00F34D19"/>
    <w:rsid w:val="00F3502C"/>
    <w:rsid w:val="00F36C98"/>
    <w:rsid w:val="00F370CE"/>
    <w:rsid w:val="00F400E9"/>
    <w:rsid w:val="00F40E28"/>
    <w:rsid w:val="00F40EA7"/>
    <w:rsid w:val="00F41A58"/>
    <w:rsid w:val="00F423FA"/>
    <w:rsid w:val="00F43490"/>
    <w:rsid w:val="00F43F34"/>
    <w:rsid w:val="00F441C1"/>
    <w:rsid w:val="00F4466C"/>
    <w:rsid w:val="00F44678"/>
    <w:rsid w:val="00F45E4D"/>
    <w:rsid w:val="00F468A2"/>
    <w:rsid w:val="00F5025A"/>
    <w:rsid w:val="00F5082F"/>
    <w:rsid w:val="00F5170C"/>
    <w:rsid w:val="00F51C32"/>
    <w:rsid w:val="00F51E32"/>
    <w:rsid w:val="00F53F22"/>
    <w:rsid w:val="00F54CF5"/>
    <w:rsid w:val="00F55714"/>
    <w:rsid w:val="00F55F73"/>
    <w:rsid w:val="00F57025"/>
    <w:rsid w:val="00F60229"/>
    <w:rsid w:val="00F60887"/>
    <w:rsid w:val="00F61DDA"/>
    <w:rsid w:val="00F6397A"/>
    <w:rsid w:val="00F63D9C"/>
    <w:rsid w:val="00F64EEF"/>
    <w:rsid w:val="00F654F9"/>
    <w:rsid w:val="00F65BCD"/>
    <w:rsid w:val="00F66863"/>
    <w:rsid w:val="00F66F10"/>
    <w:rsid w:val="00F67046"/>
    <w:rsid w:val="00F67D09"/>
    <w:rsid w:val="00F7023C"/>
    <w:rsid w:val="00F70E31"/>
    <w:rsid w:val="00F712D0"/>
    <w:rsid w:val="00F7136A"/>
    <w:rsid w:val="00F723A2"/>
    <w:rsid w:val="00F724AC"/>
    <w:rsid w:val="00F74A14"/>
    <w:rsid w:val="00F74BF2"/>
    <w:rsid w:val="00F74C35"/>
    <w:rsid w:val="00F74FBC"/>
    <w:rsid w:val="00F74FDE"/>
    <w:rsid w:val="00F750EB"/>
    <w:rsid w:val="00F76B7B"/>
    <w:rsid w:val="00F76C92"/>
    <w:rsid w:val="00F77395"/>
    <w:rsid w:val="00F773B7"/>
    <w:rsid w:val="00F77F9F"/>
    <w:rsid w:val="00F77FF1"/>
    <w:rsid w:val="00F802B6"/>
    <w:rsid w:val="00F80491"/>
    <w:rsid w:val="00F80C9F"/>
    <w:rsid w:val="00F811CC"/>
    <w:rsid w:val="00F815CF"/>
    <w:rsid w:val="00F81771"/>
    <w:rsid w:val="00F81B14"/>
    <w:rsid w:val="00F82028"/>
    <w:rsid w:val="00F829E3"/>
    <w:rsid w:val="00F82E01"/>
    <w:rsid w:val="00F8389C"/>
    <w:rsid w:val="00F83EC2"/>
    <w:rsid w:val="00F84072"/>
    <w:rsid w:val="00F84A63"/>
    <w:rsid w:val="00F85BF0"/>
    <w:rsid w:val="00F85CEB"/>
    <w:rsid w:val="00F86AF8"/>
    <w:rsid w:val="00F87300"/>
    <w:rsid w:val="00F877FB"/>
    <w:rsid w:val="00F91A29"/>
    <w:rsid w:val="00F91A7D"/>
    <w:rsid w:val="00F92224"/>
    <w:rsid w:val="00F928A0"/>
    <w:rsid w:val="00F93779"/>
    <w:rsid w:val="00F94718"/>
    <w:rsid w:val="00F956FD"/>
    <w:rsid w:val="00F9631F"/>
    <w:rsid w:val="00F96AFE"/>
    <w:rsid w:val="00F96B2E"/>
    <w:rsid w:val="00F97324"/>
    <w:rsid w:val="00F97B06"/>
    <w:rsid w:val="00FA0583"/>
    <w:rsid w:val="00FA1360"/>
    <w:rsid w:val="00FA1B22"/>
    <w:rsid w:val="00FA2B60"/>
    <w:rsid w:val="00FA2CC6"/>
    <w:rsid w:val="00FA2E57"/>
    <w:rsid w:val="00FA33C5"/>
    <w:rsid w:val="00FA3991"/>
    <w:rsid w:val="00FA4AF3"/>
    <w:rsid w:val="00FA4C70"/>
    <w:rsid w:val="00FA5604"/>
    <w:rsid w:val="00FA5F42"/>
    <w:rsid w:val="00FA6234"/>
    <w:rsid w:val="00FA644E"/>
    <w:rsid w:val="00FA65EA"/>
    <w:rsid w:val="00FA7DE1"/>
    <w:rsid w:val="00FB0A42"/>
    <w:rsid w:val="00FB0E17"/>
    <w:rsid w:val="00FB0F26"/>
    <w:rsid w:val="00FB10C0"/>
    <w:rsid w:val="00FB16DD"/>
    <w:rsid w:val="00FB1F78"/>
    <w:rsid w:val="00FB22EC"/>
    <w:rsid w:val="00FB2FA6"/>
    <w:rsid w:val="00FB3172"/>
    <w:rsid w:val="00FB37AE"/>
    <w:rsid w:val="00FB49DD"/>
    <w:rsid w:val="00FB51B9"/>
    <w:rsid w:val="00FB58A6"/>
    <w:rsid w:val="00FB63D9"/>
    <w:rsid w:val="00FB6A5E"/>
    <w:rsid w:val="00FB74CC"/>
    <w:rsid w:val="00FB7515"/>
    <w:rsid w:val="00FB7A7B"/>
    <w:rsid w:val="00FC01AA"/>
    <w:rsid w:val="00FC0355"/>
    <w:rsid w:val="00FC0B20"/>
    <w:rsid w:val="00FC0F5D"/>
    <w:rsid w:val="00FC0FAA"/>
    <w:rsid w:val="00FC12A8"/>
    <w:rsid w:val="00FC16D3"/>
    <w:rsid w:val="00FC236C"/>
    <w:rsid w:val="00FC25A4"/>
    <w:rsid w:val="00FC2992"/>
    <w:rsid w:val="00FC2CDF"/>
    <w:rsid w:val="00FC3515"/>
    <w:rsid w:val="00FC3BE5"/>
    <w:rsid w:val="00FC41E7"/>
    <w:rsid w:val="00FC44DF"/>
    <w:rsid w:val="00FC50D9"/>
    <w:rsid w:val="00FC5A2B"/>
    <w:rsid w:val="00FC616E"/>
    <w:rsid w:val="00FC7CE8"/>
    <w:rsid w:val="00FD0133"/>
    <w:rsid w:val="00FD0291"/>
    <w:rsid w:val="00FD05AC"/>
    <w:rsid w:val="00FD0B92"/>
    <w:rsid w:val="00FD1233"/>
    <w:rsid w:val="00FD13A5"/>
    <w:rsid w:val="00FD1874"/>
    <w:rsid w:val="00FD2851"/>
    <w:rsid w:val="00FD4215"/>
    <w:rsid w:val="00FD4F30"/>
    <w:rsid w:val="00FD6346"/>
    <w:rsid w:val="00FD6885"/>
    <w:rsid w:val="00FD7477"/>
    <w:rsid w:val="00FE011A"/>
    <w:rsid w:val="00FE01F7"/>
    <w:rsid w:val="00FE0746"/>
    <w:rsid w:val="00FE0870"/>
    <w:rsid w:val="00FE24AB"/>
    <w:rsid w:val="00FE261F"/>
    <w:rsid w:val="00FE33C6"/>
    <w:rsid w:val="00FE3BF9"/>
    <w:rsid w:val="00FE41EC"/>
    <w:rsid w:val="00FE43D4"/>
    <w:rsid w:val="00FE44A2"/>
    <w:rsid w:val="00FE4631"/>
    <w:rsid w:val="00FE5A0F"/>
    <w:rsid w:val="00FE5B7D"/>
    <w:rsid w:val="00FE62EA"/>
    <w:rsid w:val="00FE6F1D"/>
    <w:rsid w:val="00FE76D0"/>
    <w:rsid w:val="00FE77B2"/>
    <w:rsid w:val="00FF098E"/>
    <w:rsid w:val="00FF0C58"/>
    <w:rsid w:val="00FF13AB"/>
    <w:rsid w:val="00FF1455"/>
    <w:rsid w:val="00FF14C6"/>
    <w:rsid w:val="00FF1969"/>
    <w:rsid w:val="00FF19BD"/>
    <w:rsid w:val="00FF2627"/>
    <w:rsid w:val="00FF2CC9"/>
    <w:rsid w:val="00FF531C"/>
    <w:rsid w:val="00FF54F2"/>
    <w:rsid w:val="00FF5646"/>
    <w:rsid w:val="00FF6008"/>
    <w:rsid w:val="00FF69AC"/>
    <w:rsid w:val="00FF6E05"/>
    <w:rsid w:val="00FF7DC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812E9"/>
    <w:rPr>
      <w:sz w:val="24"/>
      <w:szCs w:val="24"/>
    </w:rPr>
  </w:style>
  <w:style w:type="paragraph" w:styleId="Titolo1">
    <w:name w:val="heading 1"/>
    <w:aliases w:val=" Carattere"/>
    <w:basedOn w:val="Normale"/>
    <w:link w:val="Titolo1Carattere1"/>
    <w:qFormat/>
    <w:rsid w:val="00FF1969"/>
    <w:pPr>
      <w:spacing w:before="100" w:beforeAutospacing="1" w:after="100" w:afterAutospacing="1"/>
      <w:outlineLvl w:val="0"/>
    </w:pPr>
    <w:rPr>
      <w:b/>
      <w:bCs/>
      <w:kern w:val="36"/>
      <w:sz w:val="48"/>
      <w:szCs w:val="48"/>
    </w:rPr>
  </w:style>
  <w:style w:type="paragraph" w:styleId="Titolo2">
    <w:name w:val="heading 2"/>
    <w:basedOn w:val="Normale"/>
    <w:next w:val="Normale"/>
    <w:link w:val="Titolo2Carattere"/>
    <w:unhideWhenUsed/>
    <w:qFormat/>
    <w:rsid w:val="00890A05"/>
    <w:pPr>
      <w:keepNext/>
      <w:spacing w:before="240" w:after="60"/>
      <w:outlineLvl w:val="1"/>
    </w:pPr>
    <w:rPr>
      <w:rFonts w:ascii="Cambria" w:hAnsi="Cambria"/>
      <w:b/>
      <w:bCs/>
      <w:i/>
      <w:iCs/>
      <w:sz w:val="28"/>
      <w:szCs w:val="28"/>
    </w:rPr>
  </w:style>
  <w:style w:type="paragraph" w:styleId="Titolo3">
    <w:name w:val="heading 3"/>
    <w:basedOn w:val="Normale"/>
    <w:link w:val="Titolo3Carattere"/>
    <w:qFormat/>
    <w:rsid w:val="00FF1969"/>
    <w:pPr>
      <w:spacing w:before="100" w:beforeAutospacing="1" w:after="100" w:afterAutospacing="1"/>
      <w:outlineLvl w:val="2"/>
    </w:pPr>
    <w:rPr>
      <w:b/>
      <w:bCs/>
      <w:sz w:val="27"/>
      <w:szCs w:val="27"/>
    </w:rPr>
  </w:style>
  <w:style w:type="paragraph" w:styleId="Titolo4">
    <w:name w:val="heading 4"/>
    <w:basedOn w:val="Normale"/>
    <w:next w:val="Normale"/>
    <w:link w:val="Titolo4Carattere"/>
    <w:qFormat/>
    <w:rsid w:val="003113F5"/>
    <w:pPr>
      <w:keepNext/>
      <w:tabs>
        <w:tab w:val="right" w:leader="dot" w:pos="7371"/>
      </w:tabs>
      <w:spacing w:before="240" w:after="60"/>
      <w:outlineLvl w:val="3"/>
    </w:pPr>
    <w:rPr>
      <w:b/>
      <w:bCs/>
      <w:sz w:val="28"/>
      <w:szCs w:val="28"/>
    </w:rPr>
  </w:style>
  <w:style w:type="paragraph" w:styleId="Titolo5">
    <w:name w:val="heading 5"/>
    <w:basedOn w:val="Normale"/>
    <w:next w:val="Normale"/>
    <w:link w:val="Titolo5Carattere"/>
    <w:qFormat/>
    <w:rsid w:val="003113F5"/>
    <w:pPr>
      <w:tabs>
        <w:tab w:val="right" w:leader="dot" w:pos="7371"/>
      </w:tabs>
      <w:spacing w:before="240" w:after="60"/>
      <w:outlineLvl w:val="4"/>
    </w:pPr>
    <w:rPr>
      <w:b/>
      <w:bCs/>
      <w:i/>
      <w:iCs/>
      <w:sz w:val="26"/>
      <w:szCs w:val="26"/>
    </w:rPr>
  </w:style>
  <w:style w:type="paragraph" w:styleId="Titolo6">
    <w:name w:val="heading 6"/>
    <w:basedOn w:val="Normale"/>
    <w:next w:val="Normale"/>
    <w:link w:val="Titolo6Carattere"/>
    <w:qFormat/>
    <w:rsid w:val="003113F5"/>
    <w:pPr>
      <w:keepNext/>
      <w:tabs>
        <w:tab w:val="right" w:leader="dot" w:pos="7371"/>
      </w:tabs>
      <w:outlineLvl w:val="5"/>
    </w:pPr>
    <w:rPr>
      <w:rFonts w:ascii="Arial" w:hAnsi="Arial"/>
      <w:b/>
      <w:color w:val="000000"/>
      <w:sz w:val="14"/>
      <w:szCs w:val="20"/>
    </w:rPr>
  </w:style>
  <w:style w:type="paragraph" w:styleId="Titolo7">
    <w:name w:val="heading 7"/>
    <w:basedOn w:val="Normale"/>
    <w:next w:val="Normale"/>
    <w:link w:val="Titolo7Carattere"/>
    <w:qFormat/>
    <w:rsid w:val="003113F5"/>
    <w:pPr>
      <w:keepNext/>
      <w:tabs>
        <w:tab w:val="right" w:leader="dot" w:pos="7371"/>
      </w:tabs>
      <w:spacing w:after="120"/>
      <w:ind w:left="284" w:right="284"/>
      <w:jc w:val="both"/>
      <w:outlineLvl w:val="6"/>
    </w:pPr>
    <w:rPr>
      <w:rFonts w:ascii="Arial" w:hAnsi="Arial"/>
      <w:b/>
      <w:color w:val="000000"/>
      <w:sz w:val="18"/>
      <w:szCs w:val="20"/>
    </w:rPr>
  </w:style>
  <w:style w:type="paragraph" w:styleId="Titolo8">
    <w:name w:val="heading 8"/>
    <w:basedOn w:val="Normale"/>
    <w:next w:val="Normale"/>
    <w:link w:val="Titolo8Carattere"/>
    <w:qFormat/>
    <w:rsid w:val="003113F5"/>
    <w:pPr>
      <w:keepNext/>
      <w:tabs>
        <w:tab w:val="right" w:leader="dot" w:pos="7371"/>
      </w:tabs>
      <w:ind w:left="284" w:right="284"/>
      <w:jc w:val="both"/>
      <w:outlineLvl w:val="7"/>
    </w:pPr>
    <w:rPr>
      <w:rFonts w:ascii="Arial" w:hAnsi="Arial"/>
      <w:b/>
      <w:sz w:val="18"/>
      <w:szCs w:val="20"/>
    </w:rPr>
  </w:style>
  <w:style w:type="paragraph" w:styleId="Titolo9">
    <w:name w:val="heading 9"/>
    <w:basedOn w:val="Normale"/>
    <w:next w:val="Normale"/>
    <w:link w:val="Titolo9Carattere"/>
    <w:qFormat/>
    <w:rsid w:val="003113F5"/>
    <w:pPr>
      <w:keepNext/>
      <w:tabs>
        <w:tab w:val="right" w:leader="dot" w:pos="7371"/>
      </w:tabs>
      <w:ind w:left="-70"/>
      <w:outlineLvl w:val="8"/>
    </w:pPr>
    <w:rPr>
      <w:rFonts w:ascii="Arial" w:hAnsi="Arial"/>
      <w:b/>
      <w:sz w:val="14"/>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pple-style-span">
    <w:name w:val="apple-style-span"/>
    <w:basedOn w:val="Carpredefinitoparagrafo"/>
    <w:rsid w:val="00FF1969"/>
  </w:style>
  <w:style w:type="paragraph" w:styleId="NormaleWeb">
    <w:name w:val="Normal (Web)"/>
    <w:basedOn w:val="Normale"/>
    <w:uiPriority w:val="99"/>
    <w:rsid w:val="00FF1969"/>
    <w:pPr>
      <w:spacing w:before="100" w:beforeAutospacing="1" w:after="100" w:afterAutospacing="1"/>
    </w:pPr>
  </w:style>
  <w:style w:type="character" w:customStyle="1" w:styleId="apple-converted-space">
    <w:name w:val="apple-converted-space"/>
    <w:basedOn w:val="Carpredefinitoparagrafo"/>
    <w:rsid w:val="00FF1969"/>
  </w:style>
  <w:style w:type="paragraph" w:styleId="Testonotaapidipagina">
    <w:name w:val="footnote text"/>
    <w:aliases w:val="Footnote,Footnote1,Footnote2,Footnote3,Footnote4,Footnote5,Footnote6,Footnote7,Footnote8,Footnote9,Footnote10,Footnote11,Footnote21,Footnote31,Footnote41,Footnote51,Footnote61,Footnote71,Footnote81,Footnote91,Footnote12"/>
    <w:basedOn w:val="Normale"/>
    <w:link w:val="TestonotaapidipaginaCarattere"/>
    <w:uiPriority w:val="99"/>
    <w:rsid w:val="00E9099D"/>
    <w:rPr>
      <w:rFonts w:ascii="Arial" w:hAnsi="Arial" w:cs="Arial"/>
      <w:color w:val="000000"/>
      <w:sz w:val="20"/>
      <w:szCs w:val="20"/>
    </w:rPr>
  </w:style>
  <w:style w:type="character" w:styleId="Rimandonotaapidipagina">
    <w:name w:val="footnote reference"/>
    <w:aliases w:val="Inf_Note a piè di pagina"/>
    <w:uiPriority w:val="99"/>
    <w:rsid w:val="00E9099D"/>
    <w:rPr>
      <w:vertAlign w:val="superscript"/>
    </w:rPr>
  </w:style>
  <w:style w:type="paragraph" w:customStyle="1" w:styleId="Default">
    <w:name w:val="Default"/>
    <w:link w:val="DefaultCarattere"/>
    <w:rsid w:val="00E9099D"/>
    <w:pPr>
      <w:autoSpaceDE w:val="0"/>
      <w:autoSpaceDN w:val="0"/>
      <w:adjustRightInd w:val="0"/>
    </w:pPr>
    <w:rPr>
      <w:rFonts w:ascii="Arial" w:hAnsi="Arial" w:cs="Arial"/>
      <w:color w:val="000000"/>
      <w:sz w:val="24"/>
      <w:szCs w:val="24"/>
    </w:rPr>
  </w:style>
  <w:style w:type="character" w:customStyle="1" w:styleId="testo1">
    <w:name w:val="testo1"/>
    <w:rsid w:val="00E9099D"/>
    <w:rPr>
      <w:rFonts w:ascii="Verdana" w:hAnsi="Verdana" w:cs="Verdana"/>
      <w:color w:val="000000"/>
      <w:sz w:val="21"/>
      <w:szCs w:val="21"/>
    </w:rPr>
  </w:style>
  <w:style w:type="character" w:styleId="Collegamentoipertestuale">
    <w:name w:val="Hyperlink"/>
    <w:rsid w:val="00441A1E"/>
    <w:rPr>
      <w:color w:val="0000FF"/>
      <w:u w:val="single"/>
    </w:rPr>
  </w:style>
  <w:style w:type="paragraph" w:styleId="Pidipagina">
    <w:name w:val="footer"/>
    <w:basedOn w:val="Normale"/>
    <w:link w:val="PidipaginaCarattere"/>
    <w:uiPriority w:val="99"/>
    <w:rsid w:val="00104ABF"/>
    <w:pPr>
      <w:tabs>
        <w:tab w:val="center" w:pos="4819"/>
        <w:tab w:val="right" w:pos="9638"/>
      </w:tabs>
    </w:pPr>
  </w:style>
  <w:style w:type="character" w:styleId="Numeropagina">
    <w:name w:val="page number"/>
    <w:basedOn w:val="Carpredefinitoparagrafo"/>
    <w:rsid w:val="00104ABF"/>
  </w:style>
  <w:style w:type="paragraph" w:styleId="Intestazione">
    <w:name w:val="header"/>
    <w:basedOn w:val="Normale"/>
    <w:link w:val="IntestazioneCarattere"/>
    <w:rsid w:val="00633124"/>
    <w:pPr>
      <w:tabs>
        <w:tab w:val="center" w:pos="4819"/>
        <w:tab w:val="right" w:pos="9638"/>
      </w:tabs>
    </w:pPr>
  </w:style>
  <w:style w:type="paragraph" w:styleId="Didascalia">
    <w:name w:val="caption"/>
    <w:basedOn w:val="Normale"/>
    <w:next w:val="Normale"/>
    <w:unhideWhenUsed/>
    <w:qFormat/>
    <w:rsid w:val="003959C9"/>
    <w:rPr>
      <w:b/>
      <w:bCs/>
      <w:sz w:val="20"/>
      <w:szCs w:val="20"/>
    </w:rPr>
  </w:style>
  <w:style w:type="character" w:customStyle="1" w:styleId="PidipaginaCarattere">
    <w:name w:val="Piè di pagina Carattere"/>
    <w:basedOn w:val="Carpredefinitoparagrafo"/>
    <w:link w:val="Pidipagina"/>
    <w:uiPriority w:val="99"/>
    <w:rsid w:val="0086275B"/>
    <w:rPr>
      <w:sz w:val="24"/>
      <w:szCs w:val="24"/>
    </w:rPr>
  </w:style>
  <w:style w:type="character" w:customStyle="1" w:styleId="Titolo2Carattere">
    <w:name w:val="Titolo 2 Carattere"/>
    <w:basedOn w:val="Carpredefinitoparagrafo"/>
    <w:link w:val="Titolo2"/>
    <w:semiHidden/>
    <w:rsid w:val="00890A05"/>
    <w:rPr>
      <w:rFonts w:ascii="Cambria" w:eastAsia="Times New Roman" w:hAnsi="Cambria" w:cs="Times New Roman"/>
      <w:b/>
      <w:bCs/>
      <w:i/>
      <w:iCs/>
      <w:sz w:val="28"/>
      <w:szCs w:val="28"/>
    </w:rPr>
  </w:style>
  <w:style w:type="paragraph" w:styleId="Rientrocorpodeltesto">
    <w:name w:val="Body Text Indent"/>
    <w:basedOn w:val="Normale"/>
    <w:link w:val="RientrocorpodeltestoCarattere"/>
    <w:rsid w:val="00200B31"/>
    <w:pPr>
      <w:widowControl w:val="0"/>
      <w:tabs>
        <w:tab w:val="left" w:pos="-1800"/>
        <w:tab w:val="left" w:pos="-1092"/>
        <w:tab w:val="left" w:pos="-384"/>
        <w:tab w:val="left" w:pos="324"/>
        <w:tab w:val="left" w:pos="1032"/>
        <w:tab w:val="left" w:pos="1740"/>
        <w:tab w:val="left" w:pos="2454"/>
        <w:tab w:val="left" w:pos="3162"/>
        <w:tab w:val="left" w:pos="3870"/>
        <w:tab w:val="left" w:pos="4578"/>
        <w:tab w:val="left" w:pos="5286"/>
        <w:tab w:val="left" w:pos="5994"/>
        <w:tab w:val="left" w:pos="6708"/>
        <w:tab w:val="left" w:pos="7416"/>
        <w:tab w:val="left" w:pos="8124"/>
      </w:tabs>
      <w:ind w:firstLine="323"/>
      <w:jc w:val="both"/>
    </w:pPr>
    <w:rPr>
      <w:rFonts w:ascii="Arial" w:hAnsi="Arial"/>
      <w:sz w:val="20"/>
      <w:szCs w:val="20"/>
    </w:rPr>
  </w:style>
  <w:style w:type="character" w:customStyle="1" w:styleId="RientrocorpodeltestoCarattere">
    <w:name w:val="Rientro corpo del testo Carattere"/>
    <w:basedOn w:val="Carpredefinitoparagrafo"/>
    <w:link w:val="Rientrocorpodeltesto"/>
    <w:rsid w:val="00200B31"/>
    <w:rPr>
      <w:rFonts w:ascii="Arial" w:hAnsi="Arial"/>
    </w:rPr>
  </w:style>
  <w:style w:type="paragraph" w:styleId="Rientrocorpodeltesto3">
    <w:name w:val="Body Text Indent 3"/>
    <w:basedOn w:val="Normale"/>
    <w:link w:val="Rientrocorpodeltesto3Carattere"/>
    <w:rsid w:val="00200B31"/>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200B31"/>
    <w:rPr>
      <w:sz w:val="16"/>
      <w:szCs w:val="16"/>
    </w:rPr>
  </w:style>
  <w:style w:type="character" w:customStyle="1" w:styleId="Titolo4Carattere">
    <w:name w:val="Titolo 4 Carattere"/>
    <w:basedOn w:val="Carpredefinitoparagrafo"/>
    <w:link w:val="Titolo4"/>
    <w:rsid w:val="003113F5"/>
    <w:rPr>
      <w:b/>
      <w:bCs/>
      <w:sz w:val="28"/>
      <w:szCs w:val="28"/>
    </w:rPr>
  </w:style>
  <w:style w:type="character" w:customStyle="1" w:styleId="Titolo5Carattere">
    <w:name w:val="Titolo 5 Carattere"/>
    <w:basedOn w:val="Carpredefinitoparagrafo"/>
    <w:link w:val="Titolo5"/>
    <w:rsid w:val="003113F5"/>
    <w:rPr>
      <w:b/>
      <w:bCs/>
      <w:i/>
      <w:iCs/>
      <w:sz w:val="26"/>
      <w:szCs w:val="26"/>
    </w:rPr>
  </w:style>
  <w:style w:type="character" w:customStyle="1" w:styleId="Titolo6Carattere">
    <w:name w:val="Titolo 6 Carattere"/>
    <w:basedOn w:val="Carpredefinitoparagrafo"/>
    <w:link w:val="Titolo6"/>
    <w:rsid w:val="003113F5"/>
    <w:rPr>
      <w:rFonts w:ascii="Arial" w:hAnsi="Arial"/>
      <w:b/>
      <w:color w:val="000000"/>
      <w:sz w:val="14"/>
    </w:rPr>
  </w:style>
  <w:style w:type="character" w:customStyle="1" w:styleId="Titolo7Carattere">
    <w:name w:val="Titolo 7 Carattere"/>
    <w:basedOn w:val="Carpredefinitoparagrafo"/>
    <w:link w:val="Titolo7"/>
    <w:rsid w:val="003113F5"/>
    <w:rPr>
      <w:rFonts w:ascii="Arial" w:hAnsi="Arial"/>
      <w:b/>
      <w:color w:val="000000"/>
      <w:sz w:val="18"/>
    </w:rPr>
  </w:style>
  <w:style w:type="character" w:customStyle="1" w:styleId="Titolo8Carattere">
    <w:name w:val="Titolo 8 Carattere"/>
    <w:basedOn w:val="Carpredefinitoparagrafo"/>
    <w:link w:val="Titolo8"/>
    <w:rsid w:val="003113F5"/>
    <w:rPr>
      <w:rFonts w:ascii="Arial" w:hAnsi="Arial"/>
      <w:b/>
      <w:sz w:val="18"/>
    </w:rPr>
  </w:style>
  <w:style w:type="character" w:customStyle="1" w:styleId="Titolo9Carattere">
    <w:name w:val="Titolo 9 Carattere"/>
    <w:basedOn w:val="Carpredefinitoparagrafo"/>
    <w:link w:val="Titolo9"/>
    <w:rsid w:val="003113F5"/>
    <w:rPr>
      <w:rFonts w:ascii="Arial" w:hAnsi="Arial"/>
      <w:b/>
      <w:sz w:val="14"/>
    </w:rPr>
  </w:style>
  <w:style w:type="paragraph" w:styleId="Puntoelenco">
    <w:name w:val="List Bullet"/>
    <w:basedOn w:val="Normale"/>
    <w:autoRedefine/>
    <w:rsid w:val="003113F5"/>
    <w:pPr>
      <w:tabs>
        <w:tab w:val="num" w:pos="360"/>
        <w:tab w:val="right" w:leader="dot" w:pos="7371"/>
      </w:tabs>
      <w:ind w:left="360" w:hanging="360"/>
      <w:jc w:val="both"/>
    </w:pPr>
    <w:rPr>
      <w:rFonts w:ascii="Arial" w:hAnsi="Arial"/>
      <w:sz w:val="22"/>
      <w:szCs w:val="22"/>
    </w:rPr>
  </w:style>
  <w:style w:type="paragraph" w:styleId="Puntoelenco2">
    <w:name w:val="List Bullet 2"/>
    <w:basedOn w:val="Normale"/>
    <w:autoRedefine/>
    <w:rsid w:val="003113F5"/>
    <w:pPr>
      <w:tabs>
        <w:tab w:val="num" w:pos="360"/>
        <w:tab w:val="right" w:leader="dot" w:pos="7371"/>
      </w:tabs>
      <w:ind w:left="360" w:hanging="360"/>
      <w:jc w:val="both"/>
    </w:pPr>
    <w:rPr>
      <w:rFonts w:ascii="Arial" w:hAnsi="Arial"/>
      <w:sz w:val="22"/>
      <w:szCs w:val="22"/>
    </w:rPr>
  </w:style>
  <w:style w:type="paragraph" w:styleId="Puntoelenco3">
    <w:name w:val="List Bullet 3"/>
    <w:basedOn w:val="Normale"/>
    <w:autoRedefine/>
    <w:rsid w:val="003113F5"/>
    <w:pPr>
      <w:keepNext/>
      <w:keepLines/>
      <w:widowControl w:val="0"/>
      <w:tabs>
        <w:tab w:val="right" w:leader="dot" w:pos="7371"/>
      </w:tabs>
      <w:spacing w:before="20" w:after="20"/>
      <w:jc w:val="both"/>
    </w:pPr>
    <w:rPr>
      <w:rFonts w:ascii="Arial" w:hAnsi="Arial"/>
      <w:sz w:val="14"/>
      <w:szCs w:val="22"/>
    </w:rPr>
  </w:style>
  <w:style w:type="paragraph" w:customStyle="1" w:styleId="tittav">
    <w:name w:val="tit_tav"/>
    <w:basedOn w:val="Normale"/>
    <w:semiHidden/>
    <w:rsid w:val="003113F5"/>
    <w:pPr>
      <w:tabs>
        <w:tab w:val="right" w:leader="dot" w:pos="7371"/>
      </w:tabs>
      <w:spacing w:after="120"/>
      <w:jc w:val="both"/>
    </w:pPr>
    <w:rPr>
      <w:rFonts w:ascii="Arial" w:hAnsi="Arial"/>
      <w:b/>
      <w:i/>
      <w:sz w:val="20"/>
      <w:szCs w:val="22"/>
    </w:rPr>
  </w:style>
  <w:style w:type="paragraph" w:styleId="Titolo">
    <w:name w:val="Title"/>
    <w:basedOn w:val="Normale"/>
    <w:link w:val="TitoloCarattere"/>
    <w:qFormat/>
    <w:rsid w:val="003113F5"/>
    <w:pPr>
      <w:tabs>
        <w:tab w:val="right" w:leader="dot" w:pos="7371"/>
      </w:tabs>
      <w:jc w:val="center"/>
    </w:pPr>
    <w:rPr>
      <w:b/>
      <w:sz w:val="22"/>
      <w:szCs w:val="20"/>
    </w:rPr>
  </w:style>
  <w:style w:type="character" w:customStyle="1" w:styleId="TitoloCarattere">
    <w:name w:val="Titolo Carattere"/>
    <w:basedOn w:val="Carpredefinitoparagrafo"/>
    <w:link w:val="Titolo"/>
    <w:rsid w:val="003113F5"/>
    <w:rPr>
      <w:b/>
      <w:sz w:val="22"/>
    </w:rPr>
  </w:style>
  <w:style w:type="paragraph" w:customStyle="1" w:styleId="xl43">
    <w:name w:val="xl43"/>
    <w:basedOn w:val="Normale"/>
    <w:semiHidden/>
    <w:rsid w:val="003113F5"/>
    <w:pPr>
      <w:tabs>
        <w:tab w:val="right" w:leader="dot" w:pos="7371"/>
      </w:tabs>
      <w:spacing w:before="100" w:beforeAutospacing="1" w:after="100" w:afterAutospacing="1"/>
      <w:jc w:val="center"/>
    </w:pPr>
    <w:rPr>
      <w:rFonts w:ascii="Arial" w:eastAsia="Arial Unicode MS" w:hAnsi="Arial" w:cs="Arial"/>
      <w:sz w:val="14"/>
      <w:szCs w:val="14"/>
    </w:rPr>
  </w:style>
  <w:style w:type="paragraph" w:styleId="Testonormale">
    <w:name w:val="Plain Text"/>
    <w:basedOn w:val="Normale"/>
    <w:link w:val="TestonormaleCarattere"/>
    <w:rsid w:val="003113F5"/>
    <w:pPr>
      <w:tabs>
        <w:tab w:val="right" w:leader="dot" w:pos="7371"/>
      </w:tabs>
    </w:pPr>
    <w:rPr>
      <w:rFonts w:ascii="Courier New" w:hAnsi="Courier New"/>
      <w:sz w:val="20"/>
      <w:szCs w:val="20"/>
    </w:rPr>
  </w:style>
  <w:style w:type="character" w:customStyle="1" w:styleId="TestonormaleCarattere">
    <w:name w:val="Testo normale Carattere"/>
    <w:basedOn w:val="Carpredefinitoparagrafo"/>
    <w:link w:val="Testonormale"/>
    <w:rsid w:val="003113F5"/>
    <w:rPr>
      <w:rFonts w:ascii="Courier New" w:hAnsi="Courier New"/>
    </w:rPr>
  </w:style>
  <w:style w:type="paragraph" w:customStyle="1" w:styleId="xl22">
    <w:name w:val="xl22"/>
    <w:basedOn w:val="Normale"/>
    <w:semiHidden/>
    <w:rsid w:val="003113F5"/>
    <w:pPr>
      <w:tabs>
        <w:tab w:val="right" w:leader="dot" w:pos="7371"/>
      </w:tabs>
      <w:spacing w:before="100" w:beforeAutospacing="1" w:after="100" w:afterAutospacing="1"/>
      <w:jc w:val="right"/>
    </w:pPr>
    <w:rPr>
      <w:rFonts w:ascii="Arial" w:eastAsia="Arial Unicode MS" w:hAnsi="Arial" w:cs="Arial"/>
      <w:sz w:val="14"/>
      <w:szCs w:val="14"/>
    </w:rPr>
  </w:style>
  <w:style w:type="paragraph" w:customStyle="1" w:styleId="xl44">
    <w:name w:val="xl44"/>
    <w:basedOn w:val="Normale"/>
    <w:semiHidden/>
    <w:rsid w:val="003113F5"/>
    <w:pPr>
      <w:tabs>
        <w:tab w:val="right" w:leader="dot" w:pos="7371"/>
      </w:tabs>
      <w:spacing w:before="100" w:beforeAutospacing="1" w:after="100" w:afterAutospacing="1"/>
    </w:pPr>
    <w:rPr>
      <w:rFonts w:ascii="Arial" w:eastAsia="Arial Unicode MS" w:hAnsi="Arial" w:cs="Arial"/>
      <w:sz w:val="14"/>
      <w:szCs w:val="14"/>
    </w:rPr>
  </w:style>
  <w:style w:type="paragraph" w:customStyle="1" w:styleId="testata">
    <w:name w:val="testata"/>
    <w:basedOn w:val="Normale"/>
    <w:semiHidden/>
    <w:rsid w:val="003113F5"/>
    <w:pPr>
      <w:tabs>
        <w:tab w:val="right" w:leader="dot" w:pos="7371"/>
      </w:tabs>
      <w:jc w:val="center"/>
    </w:pPr>
    <w:rPr>
      <w:rFonts w:ascii="Arial" w:hAnsi="Arial"/>
      <w:sz w:val="16"/>
      <w:szCs w:val="20"/>
    </w:rPr>
  </w:style>
  <w:style w:type="paragraph" w:customStyle="1" w:styleId="ulttest">
    <w:name w:val="ult.test"/>
    <w:basedOn w:val="Normale"/>
    <w:semiHidden/>
    <w:rsid w:val="003113F5"/>
    <w:pPr>
      <w:tabs>
        <w:tab w:val="right" w:leader="dot" w:pos="7371"/>
      </w:tabs>
      <w:jc w:val="right"/>
    </w:pPr>
    <w:rPr>
      <w:caps/>
      <w:sz w:val="22"/>
      <w:szCs w:val="22"/>
    </w:rPr>
  </w:style>
  <w:style w:type="paragraph" w:customStyle="1" w:styleId="TESTO">
    <w:name w:val="TESTO"/>
    <w:semiHidden/>
    <w:rsid w:val="003113F5"/>
    <w:pPr>
      <w:widowControl w:val="0"/>
      <w:spacing w:line="-200" w:lineRule="auto"/>
      <w:jc w:val="both"/>
    </w:pPr>
    <w:rPr>
      <w:rFonts w:ascii="Helvetica" w:hAnsi="Helvetica"/>
      <w:color w:val="000000"/>
      <w:sz w:val="18"/>
    </w:rPr>
  </w:style>
  <w:style w:type="paragraph" w:customStyle="1" w:styleId="xl30">
    <w:name w:val="xl30"/>
    <w:basedOn w:val="Normale"/>
    <w:semiHidden/>
    <w:rsid w:val="003113F5"/>
    <w:pPr>
      <w:pBdr>
        <w:bottom w:val="single" w:sz="4" w:space="0" w:color="auto"/>
      </w:pBdr>
      <w:shd w:val="clear" w:color="auto" w:fill="FFFFFF"/>
      <w:tabs>
        <w:tab w:val="right" w:leader="dot" w:pos="7371"/>
      </w:tabs>
      <w:spacing w:before="100" w:beforeAutospacing="1" w:after="100" w:afterAutospacing="1"/>
    </w:pPr>
    <w:rPr>
      <w:rFonts w:ascii="Arial" w:eastAsia="Arial Unicode MS" w:hAnsi="Arial" w:cs="Arial"/>
      <w:sz w:val="14"/>
      <w:szCs w:val="14"/>
    </w:rPr>
  </w:style>
  <w:style w:type="paragraph" w:customStyle="1" w:styleId="xl34">
    <w:name w:val="xl34"/>
    <w:basedOn w:val="Normale"/>
    <w:semiHidden/>
    <w:rsid w:val="003113F5"/>
    <w:pPr>
      <w:pBdr>
        <w:top w:val="single" w:sz="4" w:space="0" w:color="auto"/>
        <w:bottom w:val="single" w:sz="4" w:space="0" w:color="auto"/>
      </w:pBdr>
      <w:shd w:val="clear" w:color="auto" w:fill="FFFFFF"/>
      <w:tabs>
        <w:tab w:val="right" w:leader="dot" w:pos="7371"/>
      </w:tabs>
      <w:spacing w:before="100" w:beforeAutospacing="1" w:after="100" w:afterAutospacing="1"/>
      <w:jc w:val="center"/>
      <w:textAlignment w:val="center"/>
    </w:pPr>
    <w:rPr>
      <w:rFonts w:ascii="Arial" w:eastAsia="Arial Unicode MS" w:hAnsi="Arial" w:cs="Arial"/>
      <w:sz w:val="14"/>
      <w:szCs w:val="14"/>
    </w:rPr>
  </w:style>
  <w:style w:type="paragraph" w:styleId="Testodelblocco">
    <w:name w:val="Block Text"/>
    <w:basedOn w:val="Normale"/>
    <w:rsid w:val="003113F5"/>
    <w:pPr>
      <w:tabs>
        <w:tab w:val="right" w:leader="dot" w:pos="7371"/>
      </w:tabs>
      <w:ind w:left="284" w:right="284" w:firstLine="709"/>
      <w:jc w:val="both"/>
    </w:pPr>
    <w:rPr>
      <w:rFonts w:ascii="Arial" w:hAnsi="Arial"/>
      <w:sz w:val="20"/>
      <w:szCs w:val="20"/>
    </w:rPr>
  </w:style>
  <w:style w:type="paragraph" w:styleId="Rientrocorpodeltesto2">
    <w:name w:val="Body Text Indent 2"/>
    <w:basedOn w:val="Normale"/>
    <w:link w:val="Rientrocorpodeltesto2Carattere"/>
    <w:rsid w:val="003113F5"/>
    <w:pPr>
      <w:tabs>
        <w:tab w:val="right" w:leader="dot" w:pos="7371"/>
      </w:tabs>
      <w:ind w:firstLine="708"/>
      <w:jc w:val="both"/>
    </w:pPr>
    <w:rPr>
      <w:sz w:val="22"/>
      <w:szCs w:val="20"/>
    </w:rPr>
  </w:style>
  <w:style w:type="character" w:customStyle="1" w:styleId="Rientrocorpodeltesto2Carattere">
    <w:name w:val="Rientro corpo del testo 2 Carattere"/>
    <w:basedOn w:val="Carpredefinitoparagrafo"/>
    <w:link w:val="Rientrocorpodeltesto2"/>
    <w:rsid w:val="003113F5"/>
    <w:rPr>
      <w:sz w:val="22"/>
    </w:rPr>
  </w:style>
  <w:style w:type="paragraph" w:customStyle="1" w:styleId="valori">
    <w:name w:val="valori"/>
    <w:basedOn w:val="item"/>
    <w:semiHidden/>
    <w:rsid w:val="003113F5"/>
    <w:pPr>
      <w:ind w:left="0"/>
      <w:jc w:val="right"/>
    </w:pPr>
  </w:style>
  <w:style w:type="paragraph" w:customStyle="1" w:styleId="item">
    <w:name w:val="item"/>
    <w:basedOn w:val="Normale"/>
    <w:semiHidden/>
    <w:rsid w:val="003113F5"/>
    <w:pPr>
      <w:tabs>
        <w:tab w:val="right" w:leader="dot" w:pos="7371"/>
      </w:tabs>
      <w:ind w:left="397"/>
    </w:pPr>
    <w:rPr>
      <w:rFonts w:ascii="Arial" w:hAnsi="Arial"/>
      <w:sz w:val="16"/>
      <w:szCs w:val="20"/>
    </w:rPr>
  </w:style>
  <w:style w:type="paragraph" w:customStyle="1" w:styleId="Tabellen">
    <w:name w:val="Tabellen"/>
    <w:basedOn w:val="Normale"/>
    <w:semiHidden/>
    <w:rsid w:val="003113F5"/>
    <w:pPr>
      <w:tabs>
        <w:tab w:val="left" w:pos="709"/>
        <w:tab w:val="right" w:leader="dot" w:pos="7371"/>
      </w:tabs>
      <w:spacing w:line="20" w:lineRule="atLeast"/>
      <w:jc w:val="both"/>
    </w:pPr>
    <w:rPr>
      <w:color w:val="000000"/>
      <w:sz w:val="18"/>
      <w:szCs w:val="20"/>
      <w:lang w:val="en-GB"/>
    </w:rPr>
  </w:style>
  <w:style w:type="paragraph" w:customStyle="1" w:styleId="Stile6">
    <w:name w:val="Stile6"/>
    <w:basedOn w:val="Normale"/>
    <w:semiHidden/>
    <w:rsid w:val="003113F5"/>
    <w:pPr>
      <w:widowControl w:val="0"/>
      <w:tabs>
        <w:tab w:val="right" w:leader="dot" w:pos="7371"/>
      </w:tabs>
      <w:spacing w:line="-200" w:lineRule="auto"/>
      <w:ind w:left="384" w:hanging="384"/>
      <w:jc w:val="both"/>
    </w:pPr>
    <w:rPr>
      <w:rFonts w:ascii="Helvetica" w:hAnsi="Helvetica"/>
      <w:snapToGrid w:val="0"/>
      <w:color w:val="000000"/>
      <w:sz w:val="18"/>
      <w:szCs w:val="20"/>
    </w:rPr>
  </w:style>
  <w:style w:type="paragraph" w:styleId="Sottotitolo">
    <w:name w:val="Subtitle"/>
    <w:basedOn w:val="Normale"/>
    <w:link w:val="SottotitoloCarattere"/>
    <w:qFormat/>
    <w:rsid w:val="003113F5"/>
    <w:pPr>
      <w:tabs>
        <w:tab w:val="right" w:leader="dot" w:pos="7371"/>
      </w:tabs>
      <w:jc w:val="both"/>
    </w:pPr>
    <w:rPr>
      <w:b/>
      <w:sz w:val="22"/>
      <w:szCs w:val="20"/>
    </w:rPr>
  </w:style>
  <w:style w:type="character" w:customStyle="1" w:styleId="SottotitoloCarattere">
    <w:name w:val="Sottotitolo Carattere"/>
    <w:basedOn w:val="Carpredefinitoparagrafo"/>
    <w:link w:val="Sottotitolo"/>
    <w:rsid w:val="003113F5"/>
    <w:rPr>
      <w:b/>
      <w:sz w:val="22"/>
    </w:rPr>
  </w:style>
  <w:style w:type="paragraph" w:customStyle="1" w:styleId="xl23">
    <w:name w:val="xl23"/>
    <w:basedOn w:val="Normale"/>
    <w:semiHidden/>
    <w:rsid w:val="003113F5"/>
    <w:pPr>
      <w:tabs>
        <w:tab w:val="right" w:leader="dot" w:pos="7371"/>
      </w:tabs>
      <w:spacing w:before="100" w:beforeAutospacing="1" w:after="100" w:afterAutospacing="1"/>
    </w:pPr>
    <w:rPr>
      <w:rFonts w:ascii="Arial Unicode MS" w:eastAsia="Arial Unicode MS" w:hAnsi="Arial Unicode MS" w:cs="Arial Unicode MS"/>
      <w:b/>
      <w:bCs/>
      <w:sz w:val="18"/>
      <w:szCs w:val="18"/>
    </w:rPr>
  </w:style>
  <w:style w:type="paragraph" w:customStyle="1" w:styleId="xl42">
    <w:name w:val="xl42"/>
    <w:basedOn w:val="Normale"/>
    <w:semiHidden/>
    <w:rsid w:val="003113F5"/>
    <w:pPr>
      <w:tabs>
        <w:tab w:val="right" w:leader="dot" w:pos="7371"/>
      </w:tabs>
      <w:spacing w:before="100" w:beforeAutospacing="1" w:after="100" w:afterAutospacing="1"/>
    </w:pPr>
    <w:rPr>
      <w:rFonts w:ascii="Arial" w:eastAsia="Arial Unicode MS" w:hAnsi="Arial" w:cs="Arial"/>
      <w:sz w:val="18"/>
      <w:szCs w:val="18"/>
    </w:rPr>
  </w:style>
  <w:style w:type="paragraph" w:customStyle="1" w:styleId="xl41">
    <w:name w:val="xl41"/>
    <w:basedOn w:val="Normale"/>
    <w:semiHidden/>
    <w:rsid w:val="003113F5"/>
    <w:pPr>
      <w:tabs>
        <w:tab w:val="right" w:leader="dot" w:pos="7371"/>
      </w:tabs>
      <w:spacing w:before="100" w:beforeAutospacing="1" w:after="100" w:afterAutospacing="1"/>
      <w:jc w:val="center"/>
    </w:pPr>
    <w:rPr>
      <w:rFonts w:ascii="Arial" w:hAnsi="Arial" w:cs="Arial"/>
      <w:sz w:val="14"/>
      <w:szCs w:val="14"/>
    </w:rPr>
  </w:style>
  <w:style w:type="paragraph" w:customStyle="1" w:styleId="xl40">
    <w:name w:val="xl40"/>
    <w:basedOn w:val="Normale"/>
    <w:semiHidden/>
    <w:rsid w:val="003113F5"/>
    <w:pPr>
      <w:tabs>
        <w:tab w:val="right" w:leader="dot" w:pos="7371"/>
      </w:tabs>
      <w:spacing w:before="100" w:beforeAutospacing="1" w:after="100" w:afterAutospacing="1"/>
      <w:jc w:val="both"/>
      <w:textAlignment w:val="top"/>
    </w:pPr>
    <w:rPr>
      <w:rFonts w:ascii="Arial" w:eastAsia="Arial Unicode MS" w:hAnsi="Arial" w:cs="Arial"/>
      <w:sz w:val="14"/>
      <w:szCs w:val="14"/>
    </w:rPr>
  </w:style>
  <w:style w:type="paragraph" w:customStyle="1" w:styleId="xl27">
    <w:name w:val="xl27"/>
    <w:basedOn w:val="Normale"/>
    <w:semiHidden/>
    <w:rsid w:val="003113F5"/>
    <w:pPr>
      <w:tabs>
        <w:tab w:val="right" w:leader="dot" w:pos="7371"/>
      </w:tabs>
      <w:spacing w:before="100" w:after="100"/>
    </w:pPr>
    <w:rPr>
      <w:rFonts w:ascii="Arial" w:hAnsi="Arial"/>
      <w:b/>
      <w:sz w:val="14"/>
      <w:szCs w:val="22"/>
    </w:rPr>
  </w:style>
  <w:style w:type="paragraph" w:customStyle="1" w:styleId="xl32">
    <w:name w:val="xl32"/>
    <w:basedOn w:val="Normale"/>
    <w:semiHidden/>
    <w:rsid w:val="003113F5"/>
    <w:pPr>
      <w:pBdr>
        <w:bottom w:val="single" w:sz="4" w:space="0" w:color="auto"/>
      </w:pBdr>
      <w:tabs>
        <w:tab w:val="right" w:leader="dot" w:pos="7371"/>
      </w:tabs>
      <w:spacing w:before="100" w:after="100"/>
      <w:jc w:val="center"/>
    </w:pPr>
    <w:rPr>
      <w:rFonts w:ascii="Arial" w:eastAsia="Arial Unicode MS" w:hAnsi="Arial"/>
      <w:sz w:val="14"/>
      <w:szCs w:val="22"/>
    </w:rPr>
  </w:style>
  <w:style w:type="paragraph" w:customStyle="1" w:styleId="xl24">
    <w:name w:val="xl24"/>
    <w:basedOn w:val="Normale"/>
    <w:semiHidden/>
    <w:rsid w:val="003113F5"/>
    <w:pPr>
      <w:tabs>
        <w:tab w:val="right" w:leader="dot" w:pos="7371"/>
      </w:tabs>
      <w:spacing w:before="100" w:after="100"/>
      <w:jc w:val="both"/>
      <w:textAlignment w:val="top"/>
    </w:pPr>
    <w:rPr>
      <w:rFonts w:ascii="Arial" w:hAnsi="Arial"/>
      <w:color w:val="000000"/>
      <w:sz w:val="14"/>
      <w:szCs w:val="20"/>
    </w:rPr>
  </w:style>
  <w:style w:type="paragraph" w:customStyle="1" w:styleId="xl25">
    <w:name w:val="xl25"/>
    <w:basedOn w:val="Normale"/>
    <w:semiHidden/>
    <w:rsid w:val="003113F5"/>
    <w:pPr>
      <w:tabs>
        <w:tab w:val="right" w:leader="dot" w:pos="7371"/>
      </w:tabs>
      <w:spacing w:before="100" w:after="100"/>
      <w:jc w:val="right"/>
      <w:textAlignment w:val="top"/>
    </w:pPr>
    <w:rPr>
      <w:rFonts w:ascii="Arial" w:hAnsi="Arial"/>
      <w:color w:val="000000"/>
      <w:sz w:val="14"/>
      <w:szCs w:val="20"/>
    </w:rPr>
  </w:style>
  <w:style w:type="paragraph" w:customStyle="1" w:styleId="xl26">
    <w:name w:val="xl26"/>
    <w:basedOn w:val="Normale"/>
    <w:semiHidden/>
    <w:rsid w:val="003113F5"/>
    <w:pPr>
      <w:pBdr>
        <w:bottom w:val="single" w:sz="4" w:space="0" w:color="auto"/>
      </w:pBdr>
      <w:tabs>
        <w:tab w:val="right" w:leader="dot" w:pos="7371"/>
      </w:tabs>
      <w:spacing w:before="100" w:after="100"/>
      <w:jc w:val="right"/>
      <w:textAlignment w:val="top"/>
    </w:pPr>
    <w:rPr>
      <w:rFonts w:ascii="Arial" w:hAnsi="Arial"/>
      <w:color w:val="000000"/>
      <w:sz w:val="14"/>
      <w:szCs w:val="20"/>
    </w:rPr>
  </w:style>
  <w:style w:type="paragraph" w:customStyle="1" w:styleId="xl28">
    <w:name w:val="xl28"/>
    <w:basedOn w:val="Normale"/>
    <w:semiHidden/>
    <w:rsid w:val="003113F5"/>
    <w:pPr>
      <w:pBdr>
        <w:bottom w:val="single" w:sz="4" w:space="0" w:color="auto"/>
      </w:pBdr>
      <w:tabs>
        <w:tab w:val="right" w:leader="dot" w:pos="7371"/>
      </w:tabs>
      <w:spacing w:before="100" w:after="100"/>
      <w:jc w:val="both"/>
      <w:textAlignment w:val="top"/>
    </w:pPr>
    <w:rPr>
      <w:rFonts w:ascii="Arial" w:hAnsi="Arial"/>
      <w:b/>
      <w:color w:val="000000"/>
      <w:sz w:val="14"/>
      <w:szCs w:val="20"/>
    </w:rPr>
  </w:style>
  <w:style w:type="paragraph" w:customStyle="1" w:styleId="xl29">
    <w:name w:val="xl29"/>
    <w:basedOn w:val="Normale"/>
    <w:semiHidden/>
    <w:rsid w:val="003113F5"/>
    <w:pPr>
      <w:pBdr>
        <w:bottom w:val="single" w:sz="4" w:space="0" w:color="auto"/>
      </w:pBdr>
      <w:tabs>
        <w:tab w:val="right" w:leader="dot" w:pos="7371"/>
      </w:tabs>
      <w:spacing w:before="100" w:after="100"/>
      <w:jc w:val="right"/>
      <w:textAlignment w:val="top"/>
    </w:pPr>
    <w:rPr>
      <w:rFonts w:ascii="Arial" w:hAnsi="Arial"/>
      <w:b/>
      <w:color w:val="000000"/>
      <w:sz w:val="14"/>
      <w:szCs w:val="20"/>
    </w:rPr>
  </w:style>
  <w:style w:type="paragraph" w:customStyle="1" w:styleId="xl31">
    <w:name w:val="xl31"/>
    <w:basedOn w:val="Normale"/>
    <w:semiHidden/>
    <w:rsid w:val="003113F5"/>
    <w:pPr>
      <w:tabs>
        <w:tab w:val="right" w:leader="dot" w:pos="7371"/>
      </w:tabs>
      <w:spacing w:before="100" w:after="100"/>
      <w:jc w:val="both"/>
    </w:pPr>
    <w:rPr>
      <w:rFonts w:ascii="Arial" w:hAnsi="Arial"/>
      <w:sz w:val="16"/>
      <w:szCs w:val="20"/>
    </w:rPr>
  </w:style>
  <w:style w:type="paragraph" w:customStyle="1" w:styleId="xl33">
    <w:name w:val="xl33"/>
    <w:basedOn w:val="Normale"/>
    <w:semiHidden/>
    <w:rsid w:val="003113F5"/>
    <w:pPr>
      <w:pBdr>
        <w:bottom w:val="single" w:sz="4" w:space="0" w:color="auto"/>
      </w:pBdr>
      <w:tabs>
        <w:tab w:val="right" w:leader="dot" w:pos="7371"/>
      </w:tabs>
      <w:spacing w:before="100" w:after="100"/>
      <w:jc w:val="center"/>
      <w:textAlignment w:val="top"/>
    </w:pPr>
    <w:rPr>
      <w:rFonts w:ascii="Arial" w:hAnsi="Arial"/>
      <w:sz w:val="22"/>
      <w:szCs w:val="20"/>
    </w:rPr>
  </w:style>
  <w:style w:type="paragraph" w:customStyle="1" w:styleId="xl35">
    <w:name w:val="xl35"/>
    <w:basedOn w:val="Normale"/>
    <w:semiHidden/>
    <w:rsid w:val="003113F5"/>
    <w:pPr>
      <w:pBdr>
        <w:bottom w:val="single" w:sz="4" w:space="0" w:color="auto"/>
      </w:pBdr>
      <w:tabs>
        <w:tab w:val="right" w:leader="dot" w:pos="7371"/>
      </w:tabs>
      <w:spacing w:before="100" w:after="100"/>
      <w:jc w:val="both"/>
      <w:textAlignment w:val="top"/>
    </w:pPr>
    <w:rPr>
      <w:rFonts w:ascii="Arial" w:hAnsi="Arial"/>
      <w:sz w:val="22"/>
      <w:szCs w:val="20"/>
    </w:rPr>
  </w:style>
  <w:style w:type="paragraph" w:customStyle="1" w:styleId="xl36">
    <w:name w:val="xl36"/>
    <w:basedOn w:val="Normale"/>
    <w:semiHidden/>
    <w:rsid w:val="003113F5"/>
    <w:pPr>
      <w:pBdr>
        <w:bottom w:val="single" w:sz="4" w:space="0" w:color="auto"/>
      </w:pBdr>
      <w:tabs>
        <w:tab w:val="right" w:leader="dot" w:pos="7371"/>
      </w:tabs>
      <w:spacing w:before="100" w:after="100"/>
      <w:jc w:val="right"/>
      <w:textAlignment w:val="top"/>
    </w:pPr>
    <w:rPr>
      <w:rFonts w:ascii="Arial" w:hAnsi="Arial"/>
      <w:sz w:val="22"/>
      <w:szCs w:val="20"/>
    </w:rPr>
  </w:style>
  <w:style w:type="paragraph" w:customStyle="1" w:styleId="xl37">
    <w:name w:val="xl37"/>
    <w:basedOn w:val="Normale"/>
    <w:semiHidden/>
    <w:rsid w:val="003113F5"/>
    <w:pPr>
      <w:tabs>
        <w:tab w:val="right" w:leader="dot" w:pos="7371"/>
      </w:tabs>
      <w:spacing w:before="100" w:after="100"/>
      <w:jc w:val="right"/>
      <w:textAlignment w:val="top"/>
    </w:pPr>
    <w:rPr>
      <w:rFonts w:ascii="Arial" w:hAnsi="Arial"/>
      <w:sz w:val="22"/>
      <w:szCs w:val="20"/>
    </w:rPr>
  </w:style>
  <w:style w:type="paragraph" w:customStyle="1" w:styleId="xl38">
    <w:name w:val="xl38"/>
    <w:basedOn w:val="Normale"/>
    <w:semiHidden/>
    <w:rsid w:val="003113F5"/>
    <w:pPr>
      <w:tabs>
        <w:tab w:val="right" w:leader="dot" w:pos="7371"/>
      </w:tabs>
      <w:spacing w:before="100" w:after="100"/>
      <w:jc w:val="both"/>
    </w:pPr>
    <w:rPr>
      <w:rFonts w:ascii="Arial" w:hAnsi="Arial"/>
      <w:sz w:val="22"/>
      <w:szCs w:val="20"/>
    </w:rPr>
  </w:style>
  <w:style w:type="paragraph" w:customStyle="1" w:styleId="xl39">
    <w:name w:val="xl39"/>
    <w:basedOn w:val="Normale"/>
    <w:semiHidden/>
    <w:rsid w:val="003113F5"/>
    <w:pPr>
      <w:pBdr>
        <w:bottom w:val="single" w:sz="4" w:space="0" w:color="auto"/>
      </w:pBdr>
      <w:tabs>
        <w:tab w:val="right" w:leader="dot" w:pos="7371"/>
      </w:tabs>
      <w:spacing w:before="100" w:beforeAutospacing="1" w:after="100" w:afterAutospacing="1"/>
      <w:textAlignment w:val="top"/>
    </w:pPr>
    <w:rPr>
      <w:rFonts w:ascii="Arial" w:eastAsia="Arial Unicode MS" w:hAnsi="Arial" w:cs="Arial"/>
      <w:sz w:val="14"/>
      <w:szCs w:val="14"/>
    </w:rPr>
  </w:style>
  <w:style w:type="paragraph" w:customStyle="1" w:styleId="xl45">
    <w:name w:val="xl45"/>
    <w:basedOn w:val="Normale"/>
    <w:semiHidden/>
    <w:rsid w:val="003113F5"/>
    <w:pPr>
      <w:tabs>
        <w:tab w:val="right" w:leader="dot" w:pos="7371"/>
      </w:tabs>
      <w:spacing w:before="100" w:beforeAutospacing="1" w:after="100" w:afterAutospacing="1"/>
      <w:jc w:val="center"/>
      <w:textAlignment w:val="center"/>
    </w:pPr>
    <w:rPr>
      <w:rFonts w:ascii="Arial" w:eastAsia="Arial Unicode MS" w:hAnsi="Arial" w:cs="Arial"/>
      <w:b/>
      <w:bCs/>
      <w:sz w:val="28"/>
      <w:szCs w:val="28"/>
    </w:rPr>
  </w:style>
  <w:style w:type="paragraph" w:customStyle="1" w:styleId="xl46">
    <w:name w:val="xl46"/>
    <w:basedOn w:val="Normale"/>
    <w:semiHidden/>
    <w:rsid w:val="003113F5"/>
    <w:pPr>
      <w:tabs>
        <w:tab w:val="right" w:leader="dot" w:pos="7371"/>
      </w:tabs>
      <w:spacing w:before="100" w:beforeAutospacing="1" w:after="100" w:afterAutospacing="1"/>
      <w:textAlignment w:val="center"/>
    </w:pPr>
    <w:rPr>
      <w:rFonts w:ascii="Arial" w:eastAsia="Arial Unicode MS" w:hAnsi="Arial" w:cs="Arial"/>
      <w:sz w:val="14"/>
      <w:szCs w:val="14"/>
    </w:rPr>
  </w:style>
  <w:style w:type="paragraph" w:customStyle="1" w:styleId="xl47">
    <w:name w:val="xl47"/>
    <w:basedOn w:val="Normale"/>
    <w:semiHidden/>
    <w:rsid w:val="003113F5"/>
    <w:pPr>
      <w:tabs>
        <w:tab w:val="right" w:leader="dot" w:pos="7371"/>
      </w:tabs>
      <w:spacing w:before="100" w:beforeAutospacing="1" w:after="100" w:afterAutospacing="1"/>
      <w:textAlignment w:val="center"/>
    </w:pPr>
    <w:rPr>
      <w:rFonts w:ascii="Arial" w:eastAsia="Arial Unicode MS" w:hAnsi="Arial" w:cs="Arial"/>
      <w:sz w:val="14"/>
      <w:szCs w:val="14"/>
    </w:rPr>
  </w:style>
  <w:style w:type="paragraph" w:customStyle="1" w:styleId="xl48">
    <w:name w:val="xl48"/>
    <w:basedOn w:val="Normale"/>
    <w:semiHidden/>
    <w:rsid w:val="003113F5"/>
    <w:pPr>
      <w:pBdr>
        <w:top w:val="single" w:sz="4" w:space="0" w:color="auto"/>
      </w:pBdr>
      <w:tabs>
        <w:tab w:val="right" w:leader="dot" w:pos="7371"/>
      </w:tabs>
      <w:spacing w:before="100" w:beforeAutospacing="1" w:after="100" w:afterAutospacing="1"/>
      <w:textAlignment w:val="center"/>
    </w:pPr>
    <w:rPr>
      <w:rFonts w:ascii="Arial" w:eastAsia="Arial Unicode MS" w:hAnsi="Arial" w:cs="Arial"/>
      <w:sz w:val="14"/>
      <w:szCs w:val="14"/>
    </w:rPr>
  </w:style>
  <w:style w:type="paragraph" w:customStyle="1" w:styleId="xl49">
    <w:name w:val="xl49"/>
    <w:basedOn w:val="Normale"/>
    <w:semiHidden/>
    <w:rsid w:val="003113F5"/>
    <w:pPr>
      <w:pBdr>
        <w:bottom w:val="single" w:sz="4" w:space="0" w:color="auto"/>
      </w:pBdr>
      <w:tabs>
        <w:tab w:val="right" w:leader="dot" w:pos="7371"/>
      </w:tabs>
      <w:spacing w:before="100" w:beforeAutospacing="1" w:after="100" w:afterAutospacing="1"/>
    </w:pPr>
    <w:rPr>
      <w:rFonts w:ascii="Arial Unicode MS" w:eastAsia="Arial Unicode MS" w:hAnsi="Arial Unicode MS" w:cs="Arial Unicode MS"/>
      <w:sz w:val="22"/>
      <w:szCs w:val="22"/>
    </w:rPr>
  </w:style>
  <w:style w:type="paragraph" w:customStyle="1" w:styleId="NaceSectionSt">
    <w:name w:val="Nace Section St"/>
    <w:basedOn w:val="Normale"/>
    <w:semiHidden/>
    <w:rsid w:val="003113F5"/>
    <w:pPr>
      <w:keepNext/>
      <w:widowControl w:val="0"/>
      <w:numPr>
        <w:ilvl w:val="12"/>
      </w:numPr>
      <w:tabs>
        <w:tab w:val="left" w:pos="993"/>
        <w:tab w:val="right" w:leader="dot" w:pos="7371"/>
      </w:tabs>
      <w:spacing w:before="120" w:after="120"/>
    </w:pPr>
    <w:rPr>
      <w:rFonts w:ascii="Times" w:hAnsi="Times"/>
      <w:b/>
      <w:color w:val="000000"/>
      <w:sz w:val="20"/>
      <w:szCs w:val="20"/>
      <w:lang w:bidi="he-IL"/>
    </w:rPr>
  </w:style>
  <w:style w:type="paragraph" w:customStyle="1" w:styleId="NaceClasseSt2">
    <w:name w:val="Nace Classe St 2"/>
    <w:basedOn w:val="NaceClasseSt1"/>
    <w:semiHidden/>
    <w:rsid w:val="003113F5"/>
    <w:pPr>
      <w:jc w:val="right"/>
    </w:pPr>
  </w:style>
  <w:style w:type="paragraph" w:customStyle="1" w:styleId="NaceClasseSt1">
    <w:name w:val="Nace Classe St 1"/>
    <w:basedOn w:val="Normale"/>
    <w:semiHidden/>
    <w:rsid w:val="003113F5"/>
    <w:pPr>
      <w:keepLines/>
      <w:tabs>
        <w:tab w:val="left" w:pos="993"/>
        <w:tab w:val="right" w:leader="dot" w:pos="7371"/>
      </w:tabs>
    </w:pPr>
    <w:rPr>
      <w:rFonts w:ascii="Times" w:hAnsi="Times"/>
      <w:noProof/>
      <w:color w:val="000000"/>
      <w:sz w:val="20"/>
      <w:szCs w:val="20"/>
      <w:lang w:bidi="he-IL"/>
    </w:rPr>
  </w:style>
  <w:style w:type="character" w:customStyle="1" w:styleId="Titolo1Carattere">
    <w:name w:val="Titolo 1 Carattere"/>
    <w:rsid w:val="003113F5"/>
    <w:rPr>
      <w:rFonts w:ascii="Arial" w:hAnsi="Arial" w:cs="Arial"/>
      <w:b/>
      <w:bCs/>
      <w:kern w:val="32"/>
      <w:sz w:val="32"/>
      <w:szCs w:val="32"/>
      <w:lang w:val="it-IT" w:eastAsia="it-IT" w:bidi="ar-SA"/>
    </w:rPr>
  </w:style>
  <w:style w:type="table" w:styleId="Tabellasemplice1">
    <w:name w:val="Table Simple 1"/>
    <w:basedOn w:val="Tabellanormale"/>
    <w:rsid w:val="003113F5"/>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estonotadichiusura">
    <w:name w:val="endnote text"/>
    <w:basedOn w:val="Normale"/>
    <w:link w:val="TestonotadichiusuraCarattere"/>
    <w:rsid w:val="003113F5"/>
    <w:pPr>
      <w:tabs>
        <w:tab w:val="left" w:pos="709"/>
        <w:tab w:val="right" w:leader="dot" w:pos="7371"/>
      </w:tabs>
      <w:jc w:val="both"/>
    </w:pPr>
    <w:rPr>
      <w:sz w:val="20"/>
      <w:szCs w:val="22"/>
    </w:rPr>
  </w:style>
  <w:style w:type="character" w:customStyle="1" w:styleId="TestonotadichiusuraCarattere">
    <w:name w:val="Testo nota di chiusura Carattere"/>
    <w:basedOn w:val="Carpredefinitoparagrafo"/>
    <w:link w:val="Testonotadichiusura"/>
    <w:rsid w:val="003113F5"/>
    <w:rPr>
      <w:szCs w:val="22"/>
    </w:rPr>
  </w:style>
  <w:style w:type="paragraph" w:customStyle="1" w:styleId="Ann18GlossarioBibliografia">
    <w:name w:val="Ann_18_Glossario/Bibliografia"/>
    <w:basedOn w:val="Ann01Testo"/>
    <w:rsid w:val="003113F5"/>
    <w:pPr>
      <w:spacing w:after="100"/>
      <w:ind w:left="170" w:hanging="170"/>
    </w:pPr>
  </w:style>
  <w:style w:type="paragraph" w:customStyle="1" w:styleId="Ann08Testonotapipagina">
    <w:name w:val="Ann_08_Testo nota piè pagina"/>
    <w:basedOn w:val="Normale"/>
    <w:link w:val="Ann08TestonotapipaginaCarattere"/>
    <w:rsid w:val="003113F5"/>
    <w:pPr>
      <w:tabs>
        <w:tab w:val="right" w:pos="170"/>
        <w:tab w:val="right" w:pos="284"/>
        <w:tab w:val="right" w:pos="454"/>
        <w:tab w:val="right" w:leader="dot" w:pos="7371"/>
      </w:tabs>
      <w:spacing w:after="20"/>
      <w:ind w:left="113" w:hanging="113"/>
      <w:jc w:val="both"/>
    </w:pPr>
    <w:rPr>
      <w:sz w:val="16"/>
      <w:szCs w:val="16"/>
    </w:rPr>
  </w:style>
  <w:style w:type="character" w:customStyle="1" w:styleId="Ann13IndiceriempipuntiniCarattere">
    <w:name w:val="Ann_13_Indice riempi puntini Carattere"/>
    <w:link w:val="Ann13Indiceriempipuntini"/>
    <w:rsid w:val="003113F5"/>
    <w:rPr>
      <w:sz w:val="22"/>
      <w:szCs w:val="22"/>
      <w:lang w:val="it-IT" w:eastAsia="it-IT" w:bidi="ar-SA"/>
    </w:rPr>
  </w:style>
  <w:style w:type="paragraph" w:customStyle="1" w:styleId="Ann20intestazionepaginapari">
    <w:name w:val="Ann_20_intestazione pagina_pari"/>
    <w:basedOn w:val="Ann19intestazionepaginadispari"/>
    <w:link w:val="Ann20intestazionepaginapariCarattere"/>
    <w:rsid w:val="003113F5"/>
    <w:pPr>
      <w:jc w:val="right"/>
    </w:pPr>
  </w:style>
  <w:style w:type="paragraph" w:customStyle="1" w:styleId="Ann13Indiceriempipuntini">
    <w:name w:val="Ann_13_Indice riempi puntini"/>
    <w:next w:val="Ann01Testo"/>
    <w:link w:val="Ann13IndiceriempipuntiniCarattere"/>
    <w:rsid w:val="003113F5"/>
    <w:pPr>
      <w:tabs>
        <w:tab w:val="right" w:leader="dot" w:pos="7371"/>
      </w:tabs>
      <w:jc w:val="both"/>
    </w:pPr>
    <w:rPr>
      <w:sz w:val="22"/>
      <w:szCs w:val="22"/>
    </w:rPr>
  </w:style>
  <w:style w:type="paragraph" w:customStyle="1" w:styleId="Ann02bPARTEinocchiello">
    <w:name w:val="Ann_02_b_PARTE_in occhiello"/>
    <w:basedOn w:val="Ann02TitoloCapitolo"/>
    <w:link w:val="Ann02bPARTEinocchielloCarattereCarattere"/>
    <w:rsid w:val="003113F5"/>
    <w:pPr>
      <w:spacing w:before="5800" w:after="0"/>
    </w:pPr>
    <w:rPr>
      <w:rFonts w:cs="Times New Roman"/>
      <w:sz w:val="36"/>
    </w:rPr>
  </w:style>
  <w:style w:type="paragraph" w:customStyle="1" w:styleId="Ann10Indicetitolocapitolo">
    <w:name w:val="Ann_10_Indice titolo capitolo"/>
    <w:basedOn w:val="Normale"/>
    <w:link w:val="Ann10IndicetitolocapitoloCarattereCarattere"/>
    <w:rsid w:val="003113F5"/>
    <w:pPr>
      <w:tabs>
        <w:tab w:val="right" w:leader="dot" w:pos="7371"/>
      </w:tabs>
    </w:pPr>
    <w:rPr>
      <w:b/>
      <w:sz w:val="22"/>
      <w:szCs w:val="22"/>
    </w:rPr>
  </w:style>
  <w:style w:type="character" w:customStyle="1" w:styleId="Ann10IndicetitolocapitoloCarattereCarattere">
    <w:name w:val="Ann_10_Indice titolo capitolo Carattere Carattere"/>
    <w:link w:val="Ann10Indicetitolocapitolo"/>
    <w:rsid w:val="003113F5"/>
    <w:rPr>
      <w:b/>
      <w:sz w:val="22"/>
      <w:szCs w:val="22"/>
    </w:rPr>
  </w:style>
  <w:style w:type="paragraph" w:customStyle="1" w:styleId="Ann11Indicetitoloparagrafo">
    <w:name w:val="Ann_11_Indice titolo paragrafo"/>
    <w:basedOn w:val="Normale"/>
    <w:link w:val="Ann11IndicetitoloparagrafoCarattereCarattere"/>
    <w:rsid w:val="003113F5"/>
    <w:pPr>
      <w:tabs>
        <w:tab w:val="left" w:pos="539"/>
        <w:tab w:val="right" w:leader="dot" w:pos="7371"/>
      </w:tabs>
    </w:pPr>
    <w:rPr>
      <w:sz w:val="22"/>
      <w:szCs w:val="22"/>
    </w:rPr>
  </w:style>
  <w:style w:type="character" w:customStyle="1" w:styleId="Ann11IndicetitoloparagrafoCarattereCarattere">
    <w:name w:val="Ann_11_Indice titolo paragrafo Carattere Carattere"/>
    <w:link w:val="Ann11Indicetitoloparagrafo"/>
    <w:rsid w:val="003113F5"/>
    <w:rPr>
      <w:sz w:val="22"/>
      <w:szCs w:val="22"/>
    </w:rPr>
  </w:style>
  <w:style w:type="paragraph" w:customStyle="1" w:styleId="Ann12Indicetitolosottoparagrafo">
    <w:name w:val="Ann_12_Indice titolo sottoparagrafo"/>
    <w:basedOn w:val="Normale"/>
    <w:link w:val="Ann12IndicetitolosottoparagrafoCarattereCarattere"/>
    <w:rsid w:val="003113F5"/>
    <w:pPr>
      <w:tabs>
        <w:tab w:val="left" w:pos="397"/>
        <w:tab w:val="left" w:pos="510"/>
        <w:tab w:val="left" w:pos="539"/>
        <w:tab w:val="right" w:leader="dot" w:pos="7371"/>
      </w:tabs>
      <w:ind w:left="907" w:hanging="907"/>
    </w:pPr>
    <w:rPr>
      <w:i/>
      <w:sz w:val="22"/>
      <w:szCs w:val="20"/>
    </w:rPr>
  </w:style>
  <w:style w:type="character" w:customStyle="1" w:styleId="Ann12IndicetitolosottoparagrafoCarattereCarattere">
    <w:name w:val="Ann_12_Indice titolo sottoparagrafo Carattere Carattere"/>
    <w:link w:val="Ann12Indicetitolosottoparagrafo"/>
    <w:rsid w:val="003113F5"/>
    <w:rPr>
      <w:i/>
      <w:sz w:val="22"/>
    </w:rPr>
  </w:style>
  <w:style w:type="paragraph" w:customStyle="1" w:styleId="Ann17TavolaFignotapitavola">
    <w:name w:val="Ann_17_Tavola/Fig nota piè tavola"/>
    <w:basedOn w:val="Ann01Testo"/>
    <w:next w:val="Ann01Testo"/>
    <w:rsid w:val="003113F5"/>
    <w:pPr>
      <w:tabs>
        <w:tab w:val="clear" w:pos="7371"/>
      </w:tabs>
      <w:spacing w:before="40" w:line="170" w:lineRule="exact"/>
      <w:ind w:left="176" w:hanging="176"/>
    </w:pPr>
    <w:rPr>
      <w:rFonts w:cs="Arial"/>
      <w:bCs w:val="0"/>
      <w:sz w:val="16"/>
      <w:szCs w:val="14"/>
    </w:rPr>
  </w:style>
  <w:style w:type="character" w:customStyle="1" w:styleId="Ann02TitoloCapitoloCarattere">
    <w:name w:val="Ann_02_Titolo Capitolo Carattere"/>
    <w:link w:val="Ann02TitoloCapitolo"/>
    <w:rsid w:val="003113F5"/>
    <w:rPr>
      <w:rFonts w:cs="Arial"/>
      <w:bCs/>
      <w:smallCaps/>
      <w:sz w:val="30"/>
      <w:szCs w:val="28"/>
      <w:lang w:val="it-IT" w:eastAsia="it-IT" w:bidi="ar-SA"/>
    </w:rPr>
  </w:style>
  <w:style w:type="numbering" w:customStyle="1" w:styleId="Ann07Testoelencopuntato">
    <w:name w:val="Ann_07_Testo elenco puntato"/>
    <w:rsid w:val="003113F5"/>
    <w:pPr>
      <w:numPr>
        <w:numId w:val="3"/>
      </w:numPr>
    </w:pPr>
  </w:style>
  <w:style w:type="character" w:customStyle="1" w:styleId="Ann02bPARTEinocchielloCarattereCarattere">
    <w:name w:val="Ann_02_b_PARTE_in occhiello Carattere Carattere"/>
    <w:link w:val="Ann02bPARTEinocchiello"/>
    <w:rsid w:val="003113F5"/>
    <w:rPr>
      <w:rFonts w:cs="Arial"/>
      <w:bCs/>
      <w:smallCaps/>
      <w:sz w:val="36"/>
      <w:szCs w:val="28"/>
    </w:rPr>
  </w:style>
  <w:style w:type="paragraph" w:customStyle="1" w:styleId="Ann02cAutoriaseguitotitolocorrente">
    <w:name w:val="Ann_02_c_Autori a seguito titolo corrente"/>
    <w:basedOn w:val="Ann02TitoloCapitolo"/>
    <w:rsid w:val="003113F5"/>
    <w:pPr>
      <w:spacing w:after="0"/>
    </w:pPr>
    <w:rPr>
      <w:b/>
      <w:i/>
      <w:sz w:val="22"/>
    </w:rPr>
  </w:style>
  <w:style w:type="paragraph" w:customStyle="1" w:styleId="Ann19intestazionepaginadispari">
    <w:name w:val="Ann_19_intestazione pagina_dispari"/>
    <w:basedOn w:val="Ann01Testo"/>
    <w:next w:val="Ann01Testo"/>
    <w:link w:val="Ann19intestazionepaginadispariCarattereCarattere"/>
    <w:rsid w:val="003113F5"/>
    <w:pPr>
      <w:tabs>
        <w:tab w:val="center" w:pos="4819"/>
        <w:tab w:val="right" w:pos="9638"/>
      </w:tabs>
      <w:ind w:firstLine="0"/>
      <w:jc w:val="left"/>
    </w:pPr>
    <w:rPr>
      <w:i/>
      <w:sz w:val="20"/>
      <w:szCs w:val="20"/>
    </w:rPr>
  </w:style>
  <w:style w:type="paragraph" w:customStyle="1" w:styleId="Ann16Tavolafiancata">
    <w:name w:val="Ann_16_Tavola fiancata"/>
    <w:basedOn w:val="Ann01Testo"/>
    <w:next w:val="Ann01Testo"/>
    <w:rsid w:val="003113F5"/>
    <w:rPr>
      <w:rFonts w:ascii="Arial" w:hAnsi="Arial"/>
      <w:sz w:val="14"/>
      <w:szCs w:val="14"/>
    </w:rPr>
  </w:style>
  <w:style w:type="paragraph" w:customStyle="1" w:styleId="Ann15Tavolacelle">
    <w:name w:val="Ann_15_Tavola celle"/>
    <w:basedOn w:val="Ann01Testo"/>
    <w:next w:val="Ann01Testo"/>
    <w:rsid w:val="003113F5"/>
    <w:pPr>
      <w:ind w:firstLine="0"/>
      <w:jc w:val="right"/>
    </w:pPr>
    <w:rPr>
      <w:rFonts w:ascii="Arial" w:hAnsi="Arial" w:cs="Arial"/>
      <w:color w:val="000000"/>
      <w:sz w:val="14"/>
      <w:szCs w:val="14"/>
    </w:rPr>
  </w:style>
  <w:style w:type="paragraph" w:customStyle="1" w:styleId="Ann01TestoCitazione">
    <w:name w:val="Ann_01_Testo_Citazione"/>
    <w:basedOn w:val="Ann01Testo"/>
    <w:rsid w:val="003113F5"/>
    <w:pPr>
      <w:spacing w:before="200" w:after="200"/>
      <w:ind w:left="567" w:right="567"/>
    </w:pPr>
    <w:rPr>
      <w:sz w:val="20"/>
    </w:rPr>
  </w:style>
  <w:style w:type="paragraph" w:customStyle="1" w:styleId="Ann14TavolaFiguratitolo">
    <w:name w:val="Ann_14_Tavola/Figura  titolo"/>
    <w:link w:val="Ann14TavolaFiguratitoloCarattereCarattere"/>
    <w:rsid w:val="003113F5"/>
    <w:pPr>
      <w:spacing w:before="440" w:after="180"/>
      <w:ind w:left="1202" w:hanging="1202"/>
      <w:jc w:val="both"/>
      <w:outlineLvl w:val="0"/>
    </w:pPr>
    <w:rPr>
      <w:b/>
      <w:szCs w:val="18"/>
    </w:rPr>
  </w:style>
  <w:style w:type="character" w:customStyle="1" w:styleId="Ann14TavolaFiguratitoloCarattereCarattere">
    <w:name w:val="Ann_14_Tavola/Figura  titolo Carattere Carattere"/>
    <w:link w:val="Ann14TavolaFiguratitolo"/>
    <w:rsid w:val="003113F5"/>
    <w:rPr>
      <w:b/>
      <w:szCs w:val="18"/>
      <w:lang w:bidi="ar-SA"/>
    </w:rPr>
  </w:style>
  <w:style w:type="paragraph" w:customStyle="1" w:styleId="InfTestocorrente">
    <w:name w:val="Inf_Testo corrente"/>
    <w:basedOn w:val="Normale"/>
    <w:semiHidden/>
    <w:rsid w:val="003113F5"/>
    <w:pPr>
      <w:tabs>
        <w:tab w:val="num" w:pos="0"/>
        <w:tab w:val="right" w:leader="dot" w:pos="7371"/>
      </w:tabs>
      <w:ind w:firstLine="397"/>
      <w:jc w:val="both"/>
    </w:pPr>
    <w:rPr>
      <w:sz w:val="22"/>
      <w:szCs w:val="22"/>
    </w:rPr>
  </w:style>
  <w:style w:type="paragraph" w:customStyle="1" w:styleId="Ann09Testoautoripipagina">
    <w:name w:val="Ann_09_Testo autori piè pagina"/>
    <w:basedOn w:val="Normale"/>
    <w:rsid w:val="003113F5"/>
    <w:pPr>
      <w:tabs>
        <w:tab w:val="right" w:leader="dot" w:pos="7371"/>
      </w:tabs>
      <w:spacing w:after="20"/>
    </w:pPr>
    <w:rPr>
      <w:i/>
      <w:sz w:val="18"/>
      <w:szCs w:val="18"/>
    </w:rPr>
  </w:style>
  <w:style w:type="character" w:customStyle="1" w:styleId="Ann19intestazionepaginadispariCarattereCarattere">
    <w:name w:val="Ann_19_intestazione pagina_dispari Carattere Carattere"/>
    <w:link w:val="Ann19intestazionepaginadispari"/>
    <w:rsid w:val="003113F5"/>
    <w:rPr>
      <w:rFonts w:cs="Arial"/>
      <w:bCs/>
      <w:i/>
      <w:kern w:val="28"/>
    </w:rPr>
  </w:style>
  <w:style w:type="character" w:customStyle="1" w:styleId="Ann20intestazionepaginapariCarattere">
    <w:name w:val="Ann_20_intestazione pagina_pari Carattere"/>
    <w:basedOn w:val="Ann19intestazionepaginadispariCarattereCarattere"/>
    <w:link w:val="Ann20intestazionepaginapari"/>
    <w:rsid w:val="003113F5"/>
    <w:rPr>
      <w:rFonts w:cs="Arial"/>
      <w:bCs/>
      <w:i/>
      <w:kern w:val="28"/>
    </w:rPr>
  </w:style>
  <w:style w:type="paragraph" w:customStyle="1" w:styleId="Ann02TitoloCapitoloconautoriaseguito">
    <w:name w:val="Ann_02_Titolo Capitolo con autori a seguito"/>
    <w:basedOn w:val="Ann02TitoloCapitolo"/>
    <w:next w:val="Ann01Testo"/>
    <w:rsid w:val="003113F5"/>
    <w:pPr>
      <w:spacing w:after="400"/>
    </w:pPr>
  </w:style>
  <w:style w:type="paragraph" w:customStyle="1" w:styleId="Ann16bTavolatestata">
    <w:name w:val="Ann_16_b_Tavola testata"/>
    <w:basedOn w:val="Normale"/>
    <w:rsid w:val="003113F5"/>
    <w:pPr>
      <w:tabs>
        <w:tab w:val="right" w:leader="dot" w:pos="7371"/>
      </w:tabs>
      <w:jc w:val="center"/>
    </w:pPr>
    <w:rPr>
      <w:rFonts w:ascii="Arial" w:hAnsi="Arial" w:cs="Arial"/>
      <w:sz w:val="14"/>
      <w:szCs w:val="14"/>
    </w:rPr>
  </w:style>
  <w:style w:type="paragraph" w:customStyle="1" w:styleId="Ann01Testo">
    <w:name w:val="Ann_01_Testo"/>
    <w:basedOn w:val="Titolo1"/>
    <w:link w:val="Ann01TestoCarattereCarattere"/>
    <w:rsid w:val="003113F5"/>
    <w:pPr>
      <w:tabs>
        <w:tab w:val="right" w:leader="dot" w:pos="7371"/>
      </w:tabs>
      <w:spacing w:before="0" w:beforeAutospacing="0" w:after="0" w:afterAutospacing="0"/>
      <w:ind w:firstLine="397"/>
      <w:jc w:val="both"/>
    </w:pPr>
    <w:rPr>
      <w:b w:val="0"/>
      <w:kern w:val="28"/>
      <w:sz w:val="22"/>
      <w:szCs w:val="22"/>
    </w:rPr>
  </w:style>
  <w:style w:type="paragraph" w:customStyle="1" w:styleId="Ann22Parolechiave">
    <w:name w:val="Ann_22_Parole chiave"/>
    <w:basedOn w:val="Normale"/>
    <w:link w:val="Ann22ParolechiaveCarattereCarattere"/>
    <w:rsid w:val="003113F5"/>
    <w:pPr>
      <w:widowControl w:val="0"/>
      <w:spacing w:before="480" w:after="200"/>
      <w:ind w:left="340" w:hanging="340"/>
      <w:jc w:val="both"/>
    </w:pPr>
    <w:rPr>
      <w:b/>
      <w:sz w:val="22"/>
    </w:rPr>
  </w:style>
  <w:style w:type="paragraph" w:customStyle="1" w:styleId="InfTitolocapitolo">
    <w:name w:val="Inf_Titolo capitolo"/>
    <w:semiHidden/>
    <w:rsid w:val="003113F5"/>
    <w:pPr>
      <w:jc w:val="center"/>
    </w:pPr>
    <w:rPr>
      <w:rFonts w:ascii="Arial" w:hAnsi="Arial" w:cs="Arial"/>
      <w:b/>
      <w:sz w:val="28"/>
      <w:szCs w:val="28"/>
    </w:rPr>
  </w:style>
  <w:style w:type="paragraph" w:customStyle="1" w:styleId="Ann02TitoloCapitolo">
    <w:name w:val="Ann_02_Titolo Capitolo"/>
    <w:next w:val="InfTestocorrente"/>
    <w:link w:val="Ann02TitoloCapitoloCarattere"/>
    <w:rsid w:val="003113F5"/>
    <w:pPr>
      <w:spacing w:after="840"/>
      <w:jc w:val="center"/>
    </w:pPr>
    <w:rPr>
      <w:rFonts w:cs="Arial"/>
      <w:bCs/>
      <w:smallCaps/>
      <w:sz w:val="30"/>
      <w:szCs w:val="28"/>
    </w:rPr>
  </w:style>
  <w:style w:type="paragraph" w:customStyle="1" w:styleId="Inftitoloparagrafo">
    <w:name w:val="Inf_titolo paragrafo"/>
    <w:next w:val="InfTestocorrente"/>
    <w:semiHidden/>
    <w:rsid w:val="003113F5"/>
    <w:pPr>
      <w:tabs>
        <w:tab w:val="left" w:pos="432"/>
        <w:tab w:val="left" w:pos="720"/>
        <w:tab w:val="left" w:pos="1440"/>
        <w:tab w:val="left" w:pos="2160"/>
        <w:tab w:val="left" w:pos="3119"/>
        <w:tab w:val="left" w:pos="3600"/>
        <w:tab w:val="left" w:pos="4320"/>
        <w:tab w:val="left" w:pos="5040"/>
        <w:tab w:val="left" w:pos="5760"/>
        <w:tab w:val="left" w:pos="6480"/>
        <w:tab w:val="left" w:pos="7200"/>
        <w:tab w:val="left" w:pos="7920"/>
        <w:tab w:val="left" w:pos="8640"/>
      </w:tabs>
    </w:pPr>
    <w:rPr>
      <w:b/>
      <w:sz w:val="22"/>
      <w:szCs w:val="22"/>
    </w:rPr>
  </w:style>
  <w:style w:type="paragraph" w:customStyle="1" w:styleId="Ann03Titoloparagrafo">
    <w:name w:val="Ann_03_Titolo paragrafo"/>
    <w:basedOn w:val="Normale"/>
    <w:link w:val="Ann03TitoloparagrafoCarattereCarattere"/>
    <w:rsid w:val="003113F5"/>
    <w:pPr>
      <w:tabs>
        <w:tab w:val="left" w:pos="432"/>
        <w:tab w:val="left" w:pos="720"/>
        <w:tab w:val="left" w:pos="1440"/>
        <w:tab w:val="left" w:pos="2160"/>
        <w:tab w:val="left" w:pos="3119"/>
        <w:tab w:val="left" w:pos="3600"/>
        <w:tab w:val="left" w:pos="4320"/>
        <w:tab w:val="left" w:pos="5040"/>
        <w:tab w:val="left" w:pos="5760"/>
        <w:tab w:val="left" w:pos="6480"/>
        <w:tab w:val="left" w:pos="7200"/>
        <w:tab w:val="right" w:leader="dot" w:pos="7371"/>
        <w:tab w:val="left" w:pos="7920"/>
        <w:tab w:val="left" w:pos="8640"/>
      </w:tabs>
      <w:spacing w:before="440" w:after="220"/>
    </w:pPr>
    <w:rPr>
      <w:b/>
      <w:sz w:val="22"/>
      <w:szCs w:val="22"/>
    </w:rPr>
  </w:style>
  <w:style w:type="character" w:customStyle="1" w:styleId="Ann03TitoloparagrafoCarattereCarattere">
    <w:name w:val="Ann_03_Titolo paragrafo Carattere Carattere"/>
    <w:link w:val="Ann03Titoloparagrafo"/>
    <w:rsid w:val="003113F5"/>
    <w:rPr>
      <w:b/>
      <w:sz w:val="22"/>
      <w:szCs w:val="22"/>
    </w:rPr>
  </w:style>
  <w:style w:type="paragraph" w:customStyle="1" w:styleId="Ann04Titolosottoparagrafo">
    <w:name w:val="Ann_04_Titolo sottoparagrafo"/>
    <w:basedOn w:val="Normale"/>
    <w:link w:val="Ann04TitolosottoparagrafoCarattereCarattere"/>
    <w:rsid w:val="003113F5"/>
    <w:pPr>
      <w:tabs>
        <w:tab w:val="left" w:pos="432"/>
        <w:tab w:val="left" w:pos="720"/>
        <w:tab w:val="left" w:pos="1440"/>
        <w:tab w:val="left" w:pos="2160"/>
        <w:tab w:val="left" w:pos="3119"/>
        <w:tab w:val="left" w:pos="3600"/>
        <w:tab w:val="left" w:pos="4320"/>
        <w:tab w:val="left" w:pos="5040"/>
        <w:tab w:val="left" w:pos="5760"/>
        <w:tab w:val="left" w:pos="6480"/>
        <w:tab w:val="left" w:pos="7200"/>
        <w:tab w:val="right" w:leader="dot" w:pos="7371"/>
        <w:tab w:val="left" w:pos="7920"/>
        <w:tab w:val="left" w:pos="8640"/>
      </w:tabs>
      <w:spacing w:before="220" w:after="40"/>
      <w:ind w:left="680" w:hanging="680"/>
      <w:jc w:val="both"/>
    </w:pPr>
    <w:rPr>
      <w:i/>
      <w:sz w:val="22"/>
      <w:szCs w:val="22"/>
    </w:rPr>
  </w:style>
  <w:style w:type="character" w:customStyle="1" w:styleId="Ann04TitolosottoparagrafoCarattereCarattere">
    <w:name w:val="Ann_04_Titolo sottoparagrafo Carattere Carattere"/>
    <w:link w:val="Ann04Titolosottoparagrafo"/>
    <w:rsid w:val="003113F5"/>
    <w:rPr>
      <w:i/>
      <w:sz w:val="22"/>
      <w:szCs w:val="22"/>
    </w:rPr>
  </w:style>
  <w:style w:type="paragraph" w:customStyle="1" w:styleId="Lineaseparatorenotepidipagina">
    <w:name w:val="Linea separatore note piè di pagina"/>
    <w:basedOn w:val="Normale"/>
    <w:semiHidden/>
    <w:rsid w:val="003113F5"/>
    <w:pPr>
      <w:tabs>
        <w:tab w:val="right" w:leader="dot" w:pos="7371"/>
      </w:tabs>
    </w:pPr>
    <w:rPr>
      <w:sz w:val="22"/>
      <w:szCs w:val="22"/>
    </w:rPr>
  </w:style>
  <w:style w:type="character" w:customStyle="1" w:styleId="Titolo1Carattere1">
    <w:name w:val="Titolo 1 Carattere1"/>
    <w:aliases w:val=" Carattere Carattere"/>
    <w:link w:val="Titolo1"/>
    <w:rsid w:val="003113F5"/>
    <w:rPr>
      <w:b/>
      <w:bCs/>
      <w:kern w:val="36"/>
      <w:sz w:val="48"/>
      <w:szCs w:val="48"/>
    </w:rPr>
  </w:style>
  <w:style w:type="character" w:customStyle="1" w:styleId="Ann01TestoCarattereCarattere">
    <w:name w:val="Ann_01_Testo Carattere Carattere"/>
    <w:link w:val="Ann01Testo"/>
    <w:rsid w:val="003113F5"/>
    <w:rPr>
      <w:bCs/>
      <w:kern w:val="28"/>
      <w:sz w:val="22"/>
      <w:szCs w:val="22"/>
    </w:rPr>
  </w:style>
  <w:style w:type="character" w:customStyle="1" w:styleId="Ann22ParolechiaveCarattereCarattere">
    <w:name w:val="Ann_22_Parole chiave Carattere Carattere"/>
    <w:link w:val="Ann22Parolechiave"/>
    <w:rsid w:val="003113F5"/>
    <w:rPr>
      <w:b/>
      <w:sz w:val="22"/>
      <w:szCs w:val="24"/>
    </w:rPr>
  </w:style>
  <w:style w:type="paragraph" w:customStyle="1" w:styleId="Ann21Testosommario">
    <w:name w:val="Ann_21_Testo sommario"/>
    <w:basedOn w:val="Normale"/>
    <w:rsid w:val="003113F5"/>
    <w:pPr>
      <w:widowControl w:val="0"/>
      <w:spacing w:after="240"/>
      <w:jc w:val="both"/>
    </w:pPr>
    <w:rPr>
      <w:i/>
      <w:sz w:val="21"/>
      <w:szCs w:val="20"/>
      <w:lang w:val="en-GB"/>
    </w:rPr>
  </w:style>
  <w:style w:type="numbering" w:customStyle="1" w:styleId="Ann05Testoelenconumerico">
    <w:name w:val="Ann_05_Testo elenco numerico"/>
    <w:basedOn w:val="Nessunelenco"/>
    <w:rsid w:val="003113F5"/>
    <w:pPr>
      <w:numPr>
        <w:numId w:val="1"/>
      </w:numPr>
    </w:pPr>
  </w:style>
  <w:style w:type="paragraph" w:customStyle="1" w:styleId="Ann10bIndiceTITOLOPARTI">
    <w:name w:val="Ann_10b_Indice TITOLO PARTI"/>
    <w:basedOn w:val="Ann01Testo"/>
    <w:next w:val="Ann01Testo"/>
    <w:rsid w:val="003113F5"/>
    <w:pPr>
      <w:ind w:firstLine="0"/>
      <w:jc w:val="center"/>
    </w:pPr>
    <w:rPr>
      <w:caps/>
    </w:rPr>
  </w:style>
  <w:style w:type="paragraph" w:customStyle="1" w:styleId="Ann23numeronotaapice">
    <w:name w:val="Ann_23_numero nota 'apice'"/>
    <w:basedOn w:val="Ann08Testonotapipagina"/>
    <w:link w:val="Ann23numeronotaapiceCarattere"/>
    <w:rsid w:val="003113F5"/>
    <w:rPr>
      <w:vertAlign w:val="superscript"/>
    </w:rPr>
  </w:style>
  <w:style w:type="paragraph" w:customStyle="1" w:styleId="Ann21Titolosommario">
    <w:name w:val="Ann_21_Titolo sommario"/>
    <w:basedOn w:val="Ann22Parolechiave"/>
    <w:rsid w:val="003113F5"/>
    <w:rPr>
      <w:sz w:val="24"/>
    </w:rPr>
  </w:style>
  <w:style w:type="numbering" w:customStyle="1" w:styleId="Ann06Testoelencoalfabetico">
    <w:name w:val="Ann_06_Testo elenco alfabetico"/>
    <w:basedOn w:val="Nessunelenco"/>
    <w:rsid w:val="003113F5"/>
    <w:pPr>
      <w:numPr>
        <w:numId w:val="2"/>
      </w:numPr>
    </w:pPr>
  </w:style>
  <w:style w:type="character" w:customStyle="1" w:styleId="Ann08TestonotapipaginaCarattere">
    <w:name w:val="Ann_08_Testo nota piè pagina Carattere"/>
    <w:link w:val="Ann08Testonotapipagina"/>
    <w:rsid w:val="003113F5"/>
    <w:rPr>
      <w:sz w:val="16"/>
      <w:szCs w:val="16"/>
    </w:rPr>
  </w:style>
  <w:style w:type="character" w:customStyle="1" w:styleId="Ann23numeronotaapiceCarattere">
    <w:name w:val="Ann_23_numero nota 'apice' Carattere"/>
    <w:link w:val="Ann23numeronotaapice"/>
    <w:rsid w:val="003113F5"/>
    <w:rPr>
      <w:sz w:val="16"/>
      <w:szCs w:val="16"/>
      <w:vertAlign w:val="superscript"/>
    </w:rPr>
  </w:style>
  <w:style w:type="table" w:styleId="Grigliatabella">
    <w:name w:val="Table Grid"/>
    <w:basedOn w:val="Tabellanormale"/>
    <w:uiPriority w:val="39"/>
    <w:rsid w:val="003113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3Carattere">
    <w:name w:val="Titolo 3 Carattere"/>
    <w:basedOn w:val="Carpredefinitoparagrafo"/>
    <w:link w:val="Titolo3"/>
    <w:rsid w:val="003113F5"/>
    <w:rPr>
      <w:b/>
      <w:bCs/>
      <w:sz w:val="27"/>
      <w:szCs w:val="27"/>
    </w:rPr>
  </w:style>
  <w:style w:type="numbering" w:customStyle="1" w:styleId="Nessunelenco1">
    <w:name w:val="Nessun elenco1"/>
    <w:next w:val="Nessunelenco"/>
    <w:uiPriority w:val="99"/>
    <w:semiHidden/>
    <w:unhideWhenUsed/>
    <w:rsid w:val="003113F5"/>
  </w:style>
  <w:style w:type="paragraph" w:styleId="Paragrafoelenco">
    <w:name w:val="List Paragraph"/>
    <w:basedOn w:val="Normale"/>
    <w:link w:val="ParagrafoelencoCarattere"/>
    <w:uiPriority w:val="34"/>
    <w:qFormat/>
    <w:rsid w:val="003113F5"/>
    <w:pPr>
      <w:spacing w:after="200" w:line="276" w:lineRule="auto"/>
      <w:ind w:left="720"/>
      <w:contextualSpacing/>
    </w:pPr>
    <w:rPr>
      <w:rFonts w:ascii="Calibri" w:hAnsi="Calibri"/>
      <w:sz w:val="22"/>
      <w:szCs w:val="22"/>
    </w:rPr>
  </w:style>
  <w:style w:type="character" w:customStyle="1" w:styleId="IntestazioneCarattere">
    <w:name w:val="Intestazione Carattere"/>
    <w:basedOn w:val="Carpredefinitoparagrafo"/>
    <w:link w:val="Intestazione"/>
    <w:rsid w:val="003113F5"/>
    <w:rPr>
      <w:sz w:val="24"/>
      <w:szCs w:val="24"/>
    </w:rPr>
  </w:style>
  <w:style w:type="paragraph" w:customStyle="1" w:styleId="Normale1">
    <w:name w:val="Normale1"/>
    <w:rsid w:val="003113F5"/>
    <w:pPr>
      <w:suppressAutoHyphens/>
      <w:spacing w:after="200" w:line="276" w:lineRule="auto"/>
    </w:pPr>
    <w:rPr>
      <w:rFonts w:eastAsia="ヒラギノ角ゴ Pro W3"/>
      <w:color w:val="000000"/>
      <w:sz w:val="22"/>
      <w:lang w:eastAsia="ar-SA"/>
    </w:rPr>
  </w:style>
  <w:style w:type="character" w:customStyle="1" w:styleId="TestonotaapidipaginaCarattere">
    <w:name w:val="Testo nota a piè di pagina Carattere"/>
    <w:aliases w:val="Footnote Carattere,Footnote1 Carattere,Footnote2 Carattere,Footnote3 Carattere,Footnote4 Carattere,Footnote5 Carattere,Footnote6 Carattere,Footnote7 Carattere,Footnote8 Carattere,Footnote9 Carattere"/>
    <w:basedOn w:val="Carpredefinitoparagrafo"/>
    <w:link w:val="Testonotaapidipagina"/>
    <w:uiPriority w:val="99"/>
    <w:qFormat/>
    <w:rsid w:val="003113F5"/>
    <w:rPr>
      <w:rFonts w:ascii="Arial" w:hAnsi="Arial" w:cs="Arial"/>
      <w:color w:val="000000"/>
    </w:rPr>
  </w:style>
  <w:style w:type="paragraph" w:customStyle="1" w:styleId="01Titolocapitolo">
    <w:name w:val="01_Titolo capitolo"/>
    <w:basedOn w:val="Paragrafoelenco"/>
    <w:qFormat/>
    <w:rsid w:val="003113F5"/>
    <w:pPr>
      <w:numPr>
        <w:numId w:val="4"/>
      </w:numPr>
      <w:suppressAutoHyphens/>
      <w:spacing w:after="1080" w:line="320" w:lineRule="exact"/>
      <w:ind w:left="567" w:hanging="567"/>
      <w:jc w:val="both"/>
    </w:pPr>
    <w:rPr>
      <w:rFonts w:ascii="Arial Black" w:hAnsi="Arial Black"/>
      <w:color w:val="CC0000"/>
      <w:sz w:val="32"/>
      <w:szCs w:val="32"/>
    </w:rPr>
  </w:style>
  <w:style w:type="paragraph" w:customStyle="1" w:styleId="02Titoloparagrafo">
    <w:name w:val="02_Titolo paragrafo"/>
    <w:basedOn w:val="Normale"/>
    <w:qFormat/>
    <w:rsid w:val="003113F5"/>
    <w:pPr>
      <w:suppressAutoHyphens/>
      <w:spacing w:after="600" w:line="280" w:lineRule="exact"/>
      <w:ind w:left="567" w:hanging="567"/>
      <w:jc w:val="both"/>
    </w:pPr>
    <w:rPr>
      <w:rFonts w:ascii="Arial" w:hAnsi="Arial"/>
      <w:sz w:val="28"/>
      <w:szCs w:val="28"/>
    </w:rPr>
  </w:style>
  <w:style w:type="paragraph" w:customStyle="1" w:styleId="03testocorrente">
    <w:name w:val="03_testo corrente"/>
    <w:basedOn w:val="Normale"/>
    <w:qFormat/>
    <w:rsid w:val="003113F5"/>
    <w:pPr>
      <w:spacing w:line="280" w:lineRule="exact"/>
      <w:ind w:firstLine="227"/>
      <w:jc w:val="both"/>
    </w:pPr>
    <w:rPr>
      <w:rFonts w:ascii="Arial Narrow" w:hAnsi="Arial Narrow"/>
    </w:rPr>
  </w:style>
  <w:style w:type="paragraph" w:customStyle="1" w:styleId="04Elencopuntato">
    <w:name w:val="04_Elenco puntato"/>
    <w:basedOn w:val="Paragrafoelenco"/>
    <w:qFormat/>
    <w:rsid w:val="003113F5"/>
    <w:pPr>
      <w:numPr>
        <w:numId w:val="5"/>
      </w:numPr>
      <w:spacing w:after="0" w:line="280" w:lineRule="exact"/>
      <w:ind w:left="454" w:hanging="227"/>
      <w:jc w:val="both"/>
    </w:pPr>
    <w:rPr>
      <w:rFonts w:ascii="Arial Narrow" w:hAnsi="Arial Narrow"/>
      <w:sz w:val="24"/>
      <w:szCs w:val="24"/>
    </w:rPr>
  </w:style>
  <w:style w:type="paragraph" w:customStyle="1" w:styleId="05Notaapipagina">
    <w:name w:val="05_Nota a piè pagina"/>
    <w:basedOn w:val="Testonotaapidipagina"/>
    <w:qFormat/>
    <w:rsid w:val="003113F5"/>
    <w:pPr>
      <w:tabs>
        <w:tab w:val="right" w:leader="dot" w:pos="7371"/>
      </w:tabs>
    </w:pPr>
    <w:rPr>
      <w:rFonts w:ascii="Times New Roman" w:hAnsi="Times New Roman" w:cs="Times New Roman"/>
      <w:color w:val="auto"/>
      <w:szCs w:val="22"/>
    </w:rPr>
  </w:style>
  <w:style w:type="paragraph" w:customStyle="1" w:styleId="06Prospetto">
    <w:name w:val="06_Prospetto"/>
    <w:basedOn w:val="Normale"/>
    <w:qFormat/>
    <w:rsid w:val="003113F5"/>
    <w:pPr>
      <w:tabs>
        <w:tab w:val="left" w:pos="567"/>
      </w:tabs>
      <w:spacing w:line="240" w:lineRule="exact"/>
      <w:jc w:val="both"/>
    </w:pPr>
    <w:rPr>
      <w:rFonts w:ascii="Arial" w:hAnsi="Arial" w:cs="Arial"/>
      <w:b/>
      <w:bCs/>
      <w:color w:val="CC0000"/>
      <w:sz w:val="18"/>
      <w:szCs w:val="18"/>
    </w:rPr>
  </w:style>
  <w:style w:type="paragraph" w:customStyle="1" w:styleId="07Titoloprospetto">
    <w:name w:val="07_Titolo prospetto"/>
    <w:basedOn w:val="Normale"/>
    <w:qFormat/>
    <w:rsid w:val="003113F5"/>
    <w:pPr>
      <w:tabs>
        <w:tab w:val="left" w:pos="567"/>
      </w:tabs>
      <w:spacing w:after="240" w:line="240" w:lineRule="exact"/>
      <w:jc w:val="both"/>
    </w:pPr>
    <w:rPr>
      <w:rFonts w:ascii="Arial" w:hAnsi="Arial" w:cs="Arial"/>
      <w:b/>
      <w:sz w:val="18"/>
      <w:szCs w:val="18"/>
    </w:rPr>
  </w:style>
  <w:style w:type="paragraph" w:customStyle="1" w:styleId="08Fiancataprospetto">
    <w:name w:val="08_Fiancata prospetto"/>
    <w:basedOn w:val="Normale"/>
    <w:qFormat/>
    <w:rsid w:val="003113F5"/>
    <w:pPr>
      <w:spacing w:line="280" w:lineRule="exact"/>
      <w:jc w:val="both"/>
    </w:pPr>
    <w:rPr>
      <w:rFonts w:ascii="Arial" w:hAnsi="Arial" w:cs="Arial"/>
      <w:sz w:val="14"/>
      <w:szCs w:val="14"/>
    </w:rPr>
  </w:style>
  <w:style w:type="paragraph" w:customStyle="1" w:styleId="09DatiProspetto">
    <w:name w:val="09_Dati Prospetto"/>
    <w:basedOn w:val="Normale"/>
    <w:qFormat/>
    <w:rsid w:val="003113F5"/>
    <w:pPr>
      <w:spacing w:line="280" w:lineRule="exact"/>
      <w:jc w:val="right"/>
    </w:pPr>
    <w:rPr>
      <w:rFonts w:ascii="Arial" w:hAnsi="Arial" w:cs="Arial"/>
      <w:sz w:val="14"/>
      <w:szCs w:val="14"/>
    </w:rPr>
  </w:style>
  <w:style w:type="paragraph" w:customStyle="1" w:styleId="10Notaprospetto">
    <w:name w:val="10_Nota prospetto"/>
    <w:basedOn w:val="Normale"/>
    <w:qFormat/>
    <w:rsid w:val="003113F5"/>
    <w:pPr>
      <w:spacing w:before="120" w:after="200"/>
      <w:ind w:left="227" w:hanging="227"/>
      <w:jc w:val="both"/>
    </w:pPr>
    <w:rPr>
      <w:rFonts w:ascii="Arial" w:hAnsi="Arial" w:cs="Arial"/>
      <w:sz w:val="14"/>
      <w:szCs w:val="14"/>
    </w:rPr>
  </w:style>
  <w:style w:type="paragraph" w:customStyle="1" w:styleId="11Titolobox">
    <w:name w:val="11_Titolo box"/>
    <w:basedOn w:val="Normale"/>
    <w:qFormat/>
    <w:rsid w:val="003113F5"/>
    <w:pPr>
      <w:spacing w:before="240" w:after="240" w:line="280" w:lineRule="exact"/>
      <w:jc w:val="center"/>
    </w:pPr>
    <w:rPr>
      <w:rFonts w:ascii="Arial Black" w:hAnsi="Arial Black" w:cs="Arial"/>
      <w:b/>
      <w:color w:val="C00000"/>
    </w:rPr>
  </w:style>
  <w:style w:type="paragraph" w:customStyle="1" w:styleId="12Testobox">
    <w:name w:val="12_Testo box"/>
    <w:basedOn w:val="Normale"/>
    <w:qFormat/>
    <w:rsid w:val="003113F5"/>
    <w:pPr>
      <w:spacing w:line="280" w:lineRule="exact"/>
      <w:ind w:left="227" w:right="227"/>
      <w:jc w:val="both"/>
    </w:pPr>
    <w:rPr>
      <w:rFonts w:ascii="Arial" w:hAnsi="Arial" w:cs="Arial"/>
      <w:sz w:val="22"/>
      <w:szCs w:val="22"/>
    </w:rPr>
  </w:style>
  <w:style w:type="paragraph" w:customStyle="1" w:styleId="13Figura">
    <w:name w:val="13_Figura"/>
    <w:basedOn w:val="Normale"/>
    <w:qFormat/>
    <w:rsid w:val="003113F5"/>
    <w:pPr>
      <w:tabs>
        <w:tab w:val="left" w:pos="567"/>
      </w:tabs>
      <w:spacing w:line="240" w:lineRule="exact"/>
      <w:jc w:val="both"/>
    </w:pPr>
    <w:rPr>
      <w:rFonts w:ascii="Arial" w:hAnsi="Arial" w:cs="Arial"/>
      <w:b/>
      <w:bCs/>
      <w:color w:val="CC0000"/>
      <w:sz w:val="18"/>
      <w:szCs w:val="18"/>
    </w:rPr>
  </w:style>
  <w:style w:type="paragraph" w:customStyle="1" w:styleId="14Titolofigura">
    <w:name w:val="14_Titolo figura"/>
    <w:basedOn w:val="Normale"/>
    <w:qFormat/>
    <w:rsid w:val="003113F5"/>
    <w:pPr>
      <w:tabs>
        <w:tab w:val="left" w:pos="567"/>
      </w:tabs>
      <w:spacing w:after="240" w:line="260" w:lineRule="exact"/>
      <w:jc w:val="both"/>
    </w:pPr>
    <w:rPr>
      <w:rFonts w:ascii="Arial" w:hAnsi="Arial" w:cs="Arial"/>
      <w:b/>
      <w:sz w:val="18"/>
      <w:szCs w:val="18"/>
    </w:rPr>
  </w:style>
  <w:style w:type="paragraph" w:customStyle="1" w:styleId="15Lineafigura">
    <w:name w:val="15_Linea figura"/>
    <w:basedOn w:val="Normale"/>
    <w:qFormat/>
    <w:rsid w:val="003113F5"/>
    <w:pPr>
      <w:pBdr>
        <w:top w:val="single" w:sz="12" w:space="0" w:color="808080"/>
      </w:pBdr>
      <w:shd w:val="clear" w:color="auto" w:fill="FFFFFF"/>
      <w:tabs>
        <w:tab w:val="left" w:pos="567"/>
      </w:tabs>
      <w:spacing w:after="40" w:line="100" w:lineRule="exact"/>
      <w:jc w:val="both"/>
    </w:pPr>
    <w:rPr>
      <w:rFonts w:ascii="Arial Narrow" w:hAnsi="Arial Narrow"/>
      <w:b/>
      <w:caps/>
      <w:color w:val="FFFFFF"/>
      <w:sz w:val="22"/>
      <w:szCs w:val="22"/>
    </w:rPr>
  </w:style>
  <w:style w:type="paragraph" w:customStyle="1" w:styleId="16Sommario">
    <w:name w:val="16_Sommario"/>
    <w:basedOn w:val="Normale"/>
    <w:qFormat/>
    <w:rsid w:val="003113F5"/>
    <w:pPr>
      <w:spacing w:after="1080" w:line="280" w:lineRule="exact"/>
      <w:jc w:val="both"/>
    </w:pPr>
    <w:rPr>
      <w:rFonts w:ascii="Arial Black" w:hAnsi="Arial Black"/>
      <w:color w:val="CC0000"/>
      <w:sz w:val="32"/>
      <w:szCs w:val="32"/>
    </w:rPr>
  </w:style>
  <w:style w:type="paragraph" w:customStyle="1" w:styleId="17Sommariopresentazione">
    <w:name w:val="17_Sommario presentazione"/>
    <w:basedOn w:val="Normale"/>
    <w:qFormat/>
    <w:rsid w:val="003113F5"/>
    <w:pPr>
      <w:tabs>
        <w:tab w:val="right" w:leader="dot" w:pos="9214"/>
      </w:tabs>
      <w:spacing w:before="240" w:after="240" w:line="300" w:lineRule="exact"/>
      <w:ind w:left="425" w:hanging="425"/>
      <w:jc w:val="both"/>
    </w:pPr>
    <w:rPr>
      <w:rFonts w:ascii="Arial Narrow" w:hAnsi="Arial Narrow"/>
      <w:b/>
    </w:rPr>
  </w:style>
  <w:style w:type="paragraph" w:customStyle="1" w:styleId="18Sommariocapitolo">
    <w:name w:val="18_Sommario capitolo"/>
    <w:basedOn w:val="Normale"/>
    <w:qFormat/>
    <w:rsid w:val="003113F5"/>
    <w:pPr>
      <w:tabs>
        <w:tab w:val="right" w:leader="dot" w:pos="9214"/>
      </w:tabs>
      <w:spacing w:before="240" w:after="240" w:line="300" w:lineRule="exact"/>
      <w:ind w:left="425" w:hanging="425"/>
      <w:jc w:val="both"/>
    </w:pPr>
    <w:rPr>
      <w:rFonts w:ascii="Arial Narrow" w:hAnsi="Arial Narrow"/>
      <w:b/>
    </w:rPr>
  </w:style>
  <w:style w:type="paragraph" w:customStyle="1" w:styleId="19Sommarioparagrafo">
    <w:name w:val="19_Sommario paragrafo"/>
    <w:basedOn w:val="Normale"/>
    <w:qFormat/>
    <w:rsid w:val="003113F5"/>
    <w:pPr>
      <w:tabs>
        <w:tab w:val="right" w:leader="dot" w:pos="9214"/>
      </w:tabs>
      <w:spacing w:line="300" w:lineRule="exact"/>
      <w:ind w:left="879" w:hanging="454"/>
      <w:jc w:val="both"/>
    </w:pPr>
    <w:rPr>
      <w:rFonts w:ascii="Arial Narrow" w:hAnsi="Arial Narrow"/>
    </w:rPr>
  </w:style>
  <w:style w:type="paragraph" w:customStyle="1" w:styleId="lineaprospetto">
    <w:name w:val="linea prospetto"/>
    <w:basedOn w:val="Normale"/>
    <w:qFormat/>
    <w:rsid w:val="003113F5"/>
    <w:pPr>
      <w:spacing w:line="280" w:lineRule="exact"/>
      <w:jc w:val="both"/>
    </w:pPr>
    <w:rPr>
      <w:rFonts w:ascii="Arial" w:hAnsi="Arial" w:cs="Arial"/>
      <w:sz w:val="14"/>
      <w:szCs w:val="14"/>
    </w:rPr>
  </w:style>
  <w:style w:type="paragraph" w:customStyle="1" w:styleId="12TestoBOX0">
    <w:name w:val="12_Testo (BOX)"/>
    <w:basedOn w:val="Normale"/>
    <w:qFormat/>
    <w:rsid w:val="003113F5"/>
    <w:pPr>
      <w:spacing w:line="280" w:lineRule="exact"/>
      <w:ind w:left="227" w:right="227"/>
      <w:jc w:val="both"/>
    </w:pPr>
    <w:rPr>
      <w:rFonts w:ascii="Arial" w:hAnsi="Arial" w:cs="Arial"/>
      <w:sz w:val="22"/>
      <w:szCs w:val="22"/>
    </w:rPr>
  </w:style>
  <w:style w:type="paragraph" w:styleId="Testocommento">
    <w:name w:val="annotation text"/>
    <w:basedOn w:val="Normale"/>
    <w:link w:val="TestocommentoCarattere"/>
    <w:rsid w:val="003113F5"/>
    <w:rPr>
      <w:sz w:val="20"/>
      <w:szCs w:val="20"/>
    </w:rPr>
  </w:style>
  <w:style w:type="character" w:customStyle="1" w:styleId="TestocommentoCarattere">
    <w:name w:val="Testo commento Carattere"/>
    <w:basedOn w:val="Carpredefinitoparagrafo"/>
    <w:link w:val="Testocommento"/>
    <w:rsid w:val="003113F5"/>
  </w:style>
  <w:style w:type="paragraph" w:styleId="Soggettocommento">
    <w:name w:val="annotation subject"/>
    <w:basedOn w:val="Testocommento"/>
    <w:next w:val="Testocommento"/>
    <w:link w:val="SoggettocommentoCarattere"/>
    <w:rsid w:val="003113F5"/>
    <w:rPr>
      <w:b/>
      <w:bCs/>
    </w:rPr>
  </w:style>
  <w:style w:type="character" w:customStyle="1" w:styleId="SoggettocommentoCarattere">
    <w:name w:val="Soggetto commento Carattere"/>
    <w:basedOn w:val="TestocommentoCarattere"/>
    <w:link w:val="Soggettocommento"/>
    <w:rsid w:val="003113F5"/>
    <w:rPr>
      <w:b/>
      <w:bCs/>
    </w:rPr>
  </w:style>
  <w:style w:type="character" w:styleId="Enfasicorsivo">
    <w:name w:val="Emphasis"/>
    <w:qFormat/>
    <w:rsid w:val="003113F5"/>
    <w:rPr>
      <w:i/>
      <w:iCs/>
    </w:rPr>
  </w:style>
  <w:style w:type="paragraph" w:styleId="Revisione">
    <w:name w:val="Revision"/>
    <w:hidden/>
    <w:uiPriority w:val="99"/>
    <w:semiHidden/>
    <w:rsid w:val="003113F5"/>
    <w:rPr>
      <w:rFonts w:ascii="Calibri" w:hAnsi="Calibri"/>
      <w:sz w:val="22"/>
      <w:szCs w:val="22"/>
    </w:rPr>
  </w:style>
  <w:style w:type="paragraph" w:customStyle="1" w:styleId="20Sommariosottoparagrafo">
    <w:name w:val="20_Sommario sottoparagrafo"/>
    <w:basedOn w:val="Normale"/>
    <w:qFormat/>
    <w:rsid w:val="003113F5"/>
    <w:pPr>
      <w:tabs>
        <w:tab w:val="right" w:leader="dot" w:pos="9214"/>
      </w:tabs>
      <w:spacing w:line="300" w:lineRule="exact"/>
      <w:ind w:left="879" w:hanging="454"/>
      <w:jc w:val="both"/>
    </w:pPr>
    <w:rPr>
      <w:rFonts w:ascii="Arial Narrow" w:eastAsia="Calibri" w:hAnsi="Arial Narrow"/>
      <w:i/>
      <w:lang w:eastAsia="en-US"/>
    </w:rPr>
  </w:style>
  <w:style w:type="table" w:customStyle="1" w:styleId="Stile1">
    <w:name w:val="Stile1"/>
    <w:basedOn w:val="Tabellanormale"/>
    <w:uiPriority w:val="99"/>
    <w:rsid w:val="00465146"/>
    <w:pPr>
      <w:jc w:val="right"/>
    </w:pPr>
    <w:rPr>
      <w:rFonts w:ascii="Arial Narrow" w:hAnsi="Arial Narrow"/>
      <w:sz w:val="18"/>
    </w:rPr>
    <w:tblPr>
      <w:tblInd w:w="0" w:type="dxa"/>
      <w:tblBorders>
        <w:top w:val="single" w:sz="4" w:space="0" w:color="auto"/>
        <w:bottom w:val="single" w:sz="4" w:space="0" w:color="auto"/>
        <w:insideH w:val="single" w:sz="4" w:space="0" w:color="auto"/>
      </w:tblBorders>
      <w:tblCellMar>
        <w:top w:w="0" w:type="dxa"/>
        <w:left w:w="108" w:type="dxa"/>
        <w:bottom w:w="0" w:type="dxa"/>
        <w:right w:w="108" w:type="dxa"/>
      </w:tblCellMar>
    </w:tblPr>
    <w:tcPr>
      <w:shd w:val="clear" w:color="auto" w:fill="FFFFFF" w:themeFill="background1"/>
      <w:vAlign w:val="center"/>
    </w:tcPr>
    <w:tblStylePr w:type="firstRow">
      <w:rPr>
        <w:b/>
      </w:rPr>
    </w:tblStylePr>
    <w:tblStylePr w:type="lastRow">
      <w:rPr>
        <w:b/>
        <w:color w:val="FFFFFF" w:themeColor="background1"/>
      </w:rPr>
      <w:tblPr/>
      <w:trPr>
        <w:cantSplit/>
      </w:trPr>
      <w:tcPr>
        <w:shd w:val="clear" w:color="auto" w:fill="943634" w:themeFill="accent2" w:themeFillShade="BF"/>
      </w:tcPr>
    </w:tblStylePr>
    <w:tblStylePr w:type="firstCol">
      <w:pPr>
        <w:jc w:val="left"/>
      </w:pPr>
    </w:tblStylePr>
  </w:style>
  <w:style w:type="table" w:styleId="Tabellaacolori2">
    <w:name w:val="Table Colorful 2"/>
    <w:basedOn w:val="Tabellanormale"/>
    <w:rsid w:val="0046514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Grigliatabella1">
    <w:name w:val="Griglia tabella1"/>
    <w:basedOn w:val="Tabellanormale"/>
    <w:next w:val="Grigliatabella"/>
    <w:uiPriority w:val="59"/>
    <w:rsid w:val="001A120C"/>
    <w:pPr>
      <w:ind w:left="170" w:hanging="17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visitato">
    <w:name w:val="FollowedHyperlink"/>
    <w:basedOn w:val="Carpredefinitoparagrafo"/>
    <w:rsid w:val="007923A3"/>
    <w:rPr>
      <w:color w:val="800080" w:themeColor="followedHyperlink"/>
      <w:u w:val="single"/>
    </w:rPr>
  </w:style>
  <w:style w:type="character" w:styleId="Rimandonotadichiusura">
    <w:name w:val="endnote reference"/>
    <w:basedOn w:val="Carpredefinitoparagrafo"/>
    <w:rsid w:val="0082249F"/>
    <w:rPr>
      <w:vertAlign w:val="superscript"/>
    </w:rPr>
  </w:style>
  <w:style w:type="paragraph" w:styleId="Corpodeltesto">
    <w:name w:val="Body Text"/>
    <w:basedOn w:val="Normale"/>
    <w:link w:val="CorpodeltestoCarattere"/>
    <w:rsid w:val="0016168B"/>
    <w:pPr>
      <w:spacing w:after="120"/>
    </w:pPr>
  </w:style>
  <w:style w:type="character" w:customStyle="1" w:styleId="CorpodeltestoCarattere">
    <w:name w:val="Corpo del testo Carattere"/>
    <w:basedOn w:val="Carpredefinitoparagrafo"/>
    <w:link w:val="Corpodeltesto"/>
    <w:rsid w:val="0016168B"/>
    <w:rPr>
      <w:sz w:val="24"/>
      <w:szCs w:val="24"/>
    </w:rPr>
  </w:style>
  <w:style w:type="paragraph" w:styleId="Corpodeltesto2">
    <w:name w:val="Body Text 2"/>
    <w:basedOn w:val="Normale"/>
    <w:link w:val="Corpodeltesto2Carattere"/>
    <w:rsid w:val="0016168B"/>
    <w:pPr>
      <w:spacing w:after="120" w:line="480" w:lineRule="auto"/>
    </w:pPr>
  </w:style>
  <w:style w:type="character" w:customStyle="1" w:styleId="Corpodeltesto2Carattere">
    <w:name w:val="Corpo del testo 2 Carattere"/>
    <w:basedOn w:val="Carpredefinitoparagrafo"/>
    <w:link w:val="Corpodeltesto2"/>
    <w:rsid w:val="0016168B"/>
    <w:rPr>
      <w:sz w:val="24"/>
      <w:szCs w:val="24"/>
    </w:rPr>
  </w:style>
  <w:style w:type="paragraph" w:styleId="Corpodeltesto3">
    <w:name w:val="Body Text 3"/>
    <w:basedOn w:val="Normale"/>
    <w:link w:val="Corpodeltesto3Carattere"/>
    <w:rsid w:val="0016168B"/>
    <w:pPr>
      <w:spacing w:after="120"/>
    </w:pPr>
    <w:rPr>
      <w:sz w:val="16"/>
      <w:szCs w:val="16"/>
    </w:rPr>
  </w:style>
  <w:style w:type="character" w:customStyle="1" w:styleId="Corpodeltesto3Carattere">
    <w:name w:val="Corpo del testo 3 Carattere"/>
    <w:basedOn w:val="Carpredefinitoparagrafo"/>
    <w:link w:val="Corpodeltesto3"/>
    <w:rsid w:val="0016168B"/>
    <w:rPr>
      <w:sz w:val="16"/>
      <w:szCs w:val="16"/>
    </w:rPr>
  </w:style>
  <w:style w:type="paragraph" w:customStyle="1" w:styleId="Rientrocorpodeltesto31">
    <w:name w:val="Rientro corpo del testo 31"/>
    <w:basedOn w:val="Normale"/>
    <w:uiPriority w:val="99"/>
    <w:rsid w:val="00DD1D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exact"/>
      <w:ind w:left="-567"/>
      <w:jc w:val="both"/>
    </w:pPr>
    <w:rPr>
      <w:spacing w:val="-3"/>
      <w:sz w:val="22"/>
      <w:szCs w:val="20"/>
      <w:lang w:eastAsia="ar-SA"/>
    </w:rPr>
  </w:style>
  <w:style w:type="character" w:styleId="Enfasigrassetto">
    <w:name w:val="Strong"/>
    <w:basedOn w:val="Carpredefinitoparagrafo"/>
    <w:uiPriority w:val="22"/>
    <w:qFormat/>
    <w:rsid w:val="00A65B5F"/>
    <w:rPr>
      <w:b/>
      <w:bCs/>
    </w:rPr>
  </w:style>
  <w:style w:type="paragraph" w:customStyle="1" w:styleId="00TitoloParNumerato">
    <w:name w:val="00 Titolo_Par_Numerato"/>
    <w:basedOn w:val="Paragrafoelenco"/>
    <w:link w:val="00TitoloParNumeratoCarattere"/>
    <w:qFormat/>
    <w:rsid w:val="00BA24AA"/>
    <w:pPr>
      <w:spacing w:before="360" w:after="120"/>
      <w:ind w:left="0"/>
      <w:jc w:val="both"/>
    </w:pPr>
    <w:rPr>
      <w:rFonts w:ascii="Arial" w:eastAsiaTheme="minorHAnsi" w:hAnsi="Arial" w:cs="Arial"/>
      <w:b/>
      <w:lang w:eastAsia="en-US"/>
    </w:rPr>
  </w:style>
  <w:style w:type="paragraph" w:customStyle="1" w:styleId="Par">
    <w:name w:val="Par"/>
    <w:basedOn w:val="Default"/>
    <w:link w:val="ParCarattere"/>
    <w:qFormat/>
    <w:rsid w:val="00BA24AA"/>
    <w:pPr>
      <w:spacing w:after="120"/>
      <w:ind w:left="1843"/>
      <w:jc w:val="both"/>
    </w:pPr>
    <w:rPr>
      <w:sz w:val="20"/>
      <w:szCs w:val="20"/>
    </w:rPr>
  </w:style>
  <w:style w:type="paragraph" w:customStyle="1" w:styleId="00TitProspetto">
    <w:name w:val="00 Tit_Prospetto"/>
    <w:basedOn w:val="Default"/>
    <w:link w:val="00TitProspettoCarattere"/>
    <w:rsid w:val="002A3C2E"/>
    <w:pPr>
      <w:ind w:left="1843"/>
      <w:contextualSpacing/>
      <w:jc w:val="both"/>
    </w:pPr>
    <w:rPr>
      <w:rFonts w:ascii="Arial Narrow" w:hAnsi="Arial Narrow"/>
      <w:b/>
      <w:bCs/>
      <w:caps/>
      <w:color w:val="808080" w:themeColor="background1" w:themeShade="80"/>
      <w:sz w:val="20"/>
      <w:szCs w:val="20"/>
    </w:rPr>
  </w:style>
  <w:style w:type="paragraph" w:customStyle="1" w:styleId="00SottotitProspFig">
    <w:name w:val="00 Sottotit_Prosp_Fig"/>
    <w:basedOn w:val="Default"/>
    <w:qFormat/>
    <w:rsid w:val="00BA24AA"/>
    <w:pPr>
      <w:ind w:left="1843"/>
      <w:jc w:val="both"/>
    </w:pPr>
    <w:rPr>
      <w:rFonts w:ascii="Arial Narrow" w:hAnsi="Arial Narrow"/>
      <w:sz w:val="19"/>
      <w:szCs w:val="19"/>
    </w:rPr>
  </w:style>
  <w:style w:type="paragraph" w:customStyle="1" w:styleId="Prospetto">
    <w:name w:val="Prospetto"/>
    <w:basedOn w:val="Normale"/>
    <w:qFormat/>
    <w:rsid w:val="00BA24AA"/>
    <w:pPr>
      <w:framePr w:hSpace="141" w:wrap="around" w:vAnchor="text" w:hAnchor="page" w:x="2596" w:y="483"/>
      <w:jc w:val="right"/>
    </w:pPr>
    <w:rPr>
      <w:rFonts w:ascii="Arial Narrow" w:hAnsi="Arial Narrow"/>
      <w:b/>
      <w:bCs/>
      <w:sz w:val="18"/>
      <w:szCs w:val="18"/>
    </w:rPr>
  </w:style>
  <w:style w:type="table" w:customStyle="1" w:styleId="00Tab">
    <w:name w:val="00 Tab"/>
    <w:basedOn w:val="Tabellanormale"/>
    <w:uiPriority w:val="99"/>
    <w:rsid w:val="00CA4384"/>
    <w:rPr>
      <w:rFonts w:ascii="Arial Narrow" w:hAnsi="Arial Narrow"/>
      <w:sz w:val="18"/>
    </w:rPr>
    <w:tblPr>
      <w:tblInd w:w="0" w:type="dxa"/>
      <w:tblBorders>
        <w:top w:val="single" w:sz="8" w:space="0" w:color="auto"/>
        <w:left w:val="dotted" w:sz="4" w:space="0" w:color="auto"/>
        <w:bottom w:val="single" w:sz="8" w:space="0" w:color="auto"/>
        <w:right w:val="dotted" w:sz="4" w:space="0" w:color="auto"/>
        <w:insideH w:val="dotted" w:sz="4" w:space="0" w:color="auto"/>
        <w:insideV w:val="dotted" w:sz="4" w:space="0" w:color="auto"/>
      </w:tblBorders>
      <w:tblCellMar>
        <w:top w:w="0" w:type="dxa"/>
        <w:left w:w="108" w:type="dxa"/>
        <w:bottom w:w="0" w:type="dxa"/>
        <w:right w:w="108" w:type="dxa"/>
      </w:tblCellMar>
    </w:tblPr>
  </w:style>
  <w:style w:type="table" w:customStyle="1" w:styleId="00TabColonneAltern">
    <w:name w:val="00 Tab_Colonne_Altern"/>
    <w:basedOn w:val="Tabellanormale"/>
    <w:uiPriority w:val="99"/>
    <w:rsid w:val="009671B4"/>
    <w:pPr>
      <w:jc w:val="right"/>
    </w:pPr>
    <w:rPr>
      <w:rFonts w:ascii="Arial Narrow" w:hAnsi="Arial Narrow"/>
      <w:sz w:val="18"/>
    </w:rPr>
    <w:tblPr>
      <w:tblStyleColBandSize w:val="1"/>
      <w:tblInd w:w="0" w:type="dxa"/>
      <w:tblBorders>
        <w:top w:val="single" w:sz="8" w:space="0" w:color="auto"/>
        <w:left w:val="dotted" w:sz="4" w:space="0" w:color="auto"/>
        <w:bottom w:val="single" w:sz="8" w:space="0" w:color="auto"/>
        <w:right w:val="dotted" w:sz="4" w:space="0" w:color="auto"/>
        <w:insideH w:val="dotted" w:sz="4" w:space="0" w:color="auto"/>
        <w:insideV w:val="dotted" w:sz="4" w:space="0" w:color="auto"/>
      </w:tblBorders>
      <w:tblCellMar>
        <w:top w:w="0" w:type="dxa"/>
        <w:left w:w="108" w:type="dxa"/>
        <w:bottom w:w="0" w:type="dxa"/>
        <w:right w:w="108" w:type="dxa"/>
      </w:tblCellMar>
    </w:tblPr>
    <w:tcPr>
      <w:shd w:val="clear" w:color="auto" w:fill="auto"/>
      <w:vAlign w:val="bottom"/>
    </w:tcPr>
    <w:tblStylePr w:type="band2Vert">
      <w:tblPr/>
      <w:tcPr>
        <w:tcBorders>
          <w:top w:val="nil"/>
          <w:left w:val="nil"/>
          <w:bottom w:val="nil"/>
          <w:right w:val="nil"/>
          <w:insideH w:val="nil"/>
          <w:insideV w:val="nil"/>
          <w:tl2br w:val="nil"/>
          <w:tr2bl w:val="nil"/>
        </w:tcBorders>
        <w:shd w:val="clear" w:color="auto" w:fill="D9D9D9" w:themeFill="background1" w:themeFillShade="D9"/>
      </w:tcPr>
    </w:tblStylePr>
  </w:style>
  <w:style w:type="paragraph" w:customStyle="1" w:styleId="00Titolofocus">
    <w:name w:val="00 Titolo focus"/>
    <w:basedOn w:val="Testonormale"/>
    <w:link w:val="00TitolofocusCarattere"/>
    <w:qFormat/>
    <w:rsid w:val="00206F1B"/>
    <w:pPr>
      <w:tabs>
        <w:tab w:val="left" w:pos="8001"/>
      </w:tabs>
      <w:spacing w:before="400"/>
      <w:ind w:left="1843"/>
    </w:pPr>
    <w:rPr>
      <w:rFonts w:ascii="Arial Narrow" w:hAnsi="Arial Narrow" w:cs="Arial"/>
      <w:b/>
      <w:color w:val="595959"/>
      <w:sz w:val="40"/>
      <w:szCs w:val="40"/>
    </w:rPr>
  </w:style>
  <w:style w:type="paragraph" w:customStyle="1" w:styleId="00Sottotitolofocus">
    <w:name w:val="00 Sottotitolo focus"/>
    <w:basedOn w:val="Normale"/>
    <w:link w:val="00SottotitolofocusCarattere"/>
    <w:qFormat/>
    <w:rsid w:val="00206F1B"/>
    <w:pPr>
      <w:spacing w:after="600"/>
      <w:ind w:left="1843"/>
      <w:jc w:val="both"/>
    </w:pPr>
    <w:rPr>
      <w:rFonts w:ascii="Arial" w:hAnsi="Arial" w:cs="Arial"/>
    </w:rPr>
  </w:style>
  <w:style w:type="character" w:customStyle="1" w:styleId="00TitolofocusCarattere">
    <w:name w:val="00 Titolo focus Carattere"/>
    <w:basedOn w:val="TestonormaleCarattere"/>
    <w:link w:val="00Titolofocus"/>
    <w:rsid w:val="00206F1B"/>
    <w:rPr>
      <w:rFonts w:ascii="Arial Narrow" w:hAnsi="Arial Narrow" w:cs="Arial"/>
      <w:b/>
      <w:color w:val="595959"/>
      <w:sz w:val="40"/>
      <w:szCs w:val="40"/>
    </w:rPr>
  </w:style>
  <w:style w:type="paragraph" w:customStyle="1" w:styleId="00Titoloparnonnum">
    <w:name w:val="00 Titolo par non num"/>
    <w:basedOn w:val="Normale"/>
    <w:link w:val="00TitoloparnonnumCarattere"/>
    <w:qFormat/>
    <w:rsid w:val="00206F1B"/>
    <w:pPr>
      <w:spacing w:before="360" w:after="120" w:line="276" w:lineRule="auto"/>
      <w:ind w:left="1843"/>
      <w:jc w:val="both"/>
    </w:pPr>
    <w:rPr>
      <w:rFonts w:ascii="Arial" w:eastAsiaTheme="minorHAnsi" w:hAnsi="Arial" w:cs="Arial"/>
      <w:b/>
      <w:sz w:val="22"/>
      <w:szCs w:val="22"/>
      <w:lang w:eastAsia="en-US"/>
    </w:rPr>
  </w:style>
  <w:style w:type="character" w:customStyle="1" w:styleId="00SottotitolofocusCarattere">
    <w:name w:val="00 Sottotitolo focus Carattere"/>
    <w:basedOn w:val="Carpredefinitoparagrafo"/>
    <w:link w:val="00Sottotitolofocus"/>
    <w:rsid w:val="00206F1B"/>
    <w:rPr>
      <w:rFonts w:ascii="Arial" w:hAnsi="Arial" w:cs="Arial"/>
      <w:sz w:val="24"/>
      <w:szCs w:val="24"/>
    </w:rPr>
  </w:style>
  <w:style w:type="paragraph" w:customStyle="1" w:styleId="00Corpoparagrafo">
    <w:name w:val="00 Corpo paragrafo"/>
    <w:basedOn w:val="Par"/>
    <w:link w:val="00CorpoparagrafoCarattere"/>
    <w:qFormat/>
    <w:rsid w:val="00206F1B"/>
  </w:style>
  <w:style w:type="character" w:customStyle="1" w:styleId="00TitoloparnonnumCarattere">
    <w:name w:val="00 Titolo par non num Carattere"/>
    <w:basedOn w:val="Carpredefinitoparagrafo"/>
    <w:link w:val="00Titoloparnonnum"/>
    <w:rsid w:val="00206F1B"/>
    <w:rPr>
      <w:rFonts w:ascii="Arial" w:eastAsiaTheme="minorHAnsi" w:hAnsi="Arial" w:cs="Arial"/>
      <w:b/>
      <w:sz w:val="22"/>
      <w:szCs w:val="22"/>
      <w:lang w:eastAsia="en-US"/>
    </w:rPr>
  </w:style>
  <w:style w:type="paragraph" w:customStyle="1" w:styleId="00Titoloparagrnumerato">
    <w:name w:val="00 Titolo paragr numerato"/>
    <w:basedOn w:val="00TitoloParNumerato"/>
    <w:link w:val="00TitoloparagrnumeratoCarattere"/>
    <w:qFormat/>
    <w:rsid w:val="00206F1B"/>
    <w:pPr>
      <w:numPr>
        <w:numId w:val="6"/>
      </w:numPr>
      <w:ind w:left="1843" w:firstLine="0"/>
    </w:pPr>
  </w:style>
  <w:style w:type="character" w:customStyle="1" w:styleId="DefaultCarattere">
    <w:name w:val="Default Carattere"/>
    <w:basedOn w:val="Carpredefinitoparagrafo"/>
    <w:link w:val="Default"/>
    <w:rsid w:val="00206F1B"/>
    <w:rPr>
      <w:rFonts w:ascii="Arial" w:hAnsi="Arial" w:cs="Arial"/>
      <w:color w:val="000000"/>
      <w:sz w:val="24"/>
      <w:szCs w:val="24"/>
    </w:rPr>
  </w:style>
  <w:style w:type="character" w:customStyle="1" w:styleId="ParCarattere">
    <w:name w:val="Par Carattere"/>
    <w:basedOn w:val="DefaultCarattere"/>
    <w:link w:val="Par"/>
    <w:rsid w:val="00206F1B"/>
    <w:rPr>
      <w:rFonts w:ascii="Arial" w:hAnsi="Arial" w:cs="Arial"/>
      <w:color w:val="000000"/>
      <w:sz w:val="24"/>
      <w:szCs w:val="24"/>
    </w:rPr>
  </w:style>
  <w:style w:type="character" w:customStyle="1" w:styleId="00CorpoparagrafoCarattere">
    <w:name w:val="00 Corpo paragrafo Carattere"/>
    <w:basedOn w:val="ParCarattere"/>
    <w:link w:val="00Corpoparagrafo"/>
    <w:rsid w:val="00206F1B"/>
    <w:rPr>
      <w:rFonts w:ascii="Arial" w:hAnsi="Arial" w:cs="Arial"/>
      <w:color w:val="000000"/>
      <w:sz w:val="24"/>
      <w:szCs w:val="24"/>
    </w:rPr>
  </w:style>
  <w:style w:type="paragraph" w:customStyle="1" w:styleId="00Titolosottoparnumerato">
    <w:name w:val="00 Titolo sottopar numerato"/>
    <w:basedOn w:val="00TitoloParNumerato"/>
    <w:link w:val="00TitolosottoparnumeratoCarattere"/>
    <w:qFormat/>
    <w:rsid w:val="00206F1B"/>
    <w:pPr>
      <w:numPr>
        <w:ilvl w:val="1"/>
        <w:numId w:val="6"/>
      </w:numPr>
      <w:tabs>
        <w:tab w:val="left" w:pos="2410"/>
      </w:tabs>
      <w:spacing w:before="120"/>
      <w:ind w:left="1985" w:firstLine="0"/>
    </w:pPr>
  </w:style>
  <w:style w:type="character" w:customStyle="1" w:styleId="ParagrafoelencoCarattere">
    <w:name w:val="Paragrafo elenco Carattere"/>
    <w:basedOn w:val="Carpredefinitoparagrafo"/>
    <w:link w:val="Paragrafoelenco"/>
    <w:uiPriority w:val="34"/>
    <w:qFormat/>
    <w:rsid w:val="00206F1B"/>
    <w:rPr>
      <w:rFonts w:ascii="Calibri" w:hAnsi="Calibri"/>
      <w:sz w:val="22"/>
      <w:szCs w:val="22"/>
    </w:rPr>
  </w:style>
  <w:style w:type="character" w:customStyle="1" w:styleId="00TitoloParNumeratoCarattere">
    <w:name w:val="00 Titolo_Par_Numerato Carattere"/>
    <w:basedOn w:val="ParagrafoelencoCarattere"/>
    <w:link w:val="00TitoloParNumerato"/>
    <w:rsid w:val="00206F1B"/>
    <w:rPr>
      <w:rFonts w:ascii="Arial" w:eastAsiaTheme="minorHAnsi" w:hAnsi="Arial" w:cs="Arial"/>
      <w:b/>
      <w:sz w:val="22"/>
      <w:szCs w:val="22"/>
      <w:lang w:eastAsia="en-US"/>
    </w:rPr>
  </w:style>
  <w:style w:type="character" w:customStyle="1" w:styleId="00TitoloparagrnumeratoCarattere">
    <w:name w:val="00 Titolo paragr numerato Carattere"/>
    <w:basedOn w:val="00TitoloParNumeratoCarattere"/>
    <w:link w:val="00Titoloparagrnumerato"/>
    <w:rsid w:val="00206F1B"/>
    <w:rPr>
      <w:rFonts w:ascii="Arial" w:eastAsiaTheme="minorHAnsi" w:hAnsi="Arial" w:cs="Arial"/>
      <w:b/>
      <w:sz w:val="22"/>
      <w:szCs w:val="22"/>
      <w:lang w:eastAsia="en-US"/>
    </w:rPr>
  </w:style>
  <w:style w:type="character" w:customStyle="1" w:styleId="00TitolosottoparnumeratoCarattere">
    <w:name w:val="00 Titolo sottopar numerato Carattere"/>
    <w:basedOn w:val="00TitoloParNumeratoCarattere"/>
    <w:link w:val="00Titolosottoparnumerato"/>
    <w:rsid w:val="00206F1B"/>
    <w:rPr>
      <w:rFonts w:ascii="Arial" w:eastAsiaTheme="minorHAnsi" w:hAnsi="Arial" w:cs="Arial"/>
      <w:b/>
      <w:sz w:val="22"/>
      <w:szCs w:val="22"/>
      <w:lang w:eastAsia="en-US"/>
    </w:rPr>
  </w:style>
  <w:style w:type="paragraph" w:customStyle="1" w:styleId="00TitoloProspettoFigura">
    <w:name w:val="00 Titolo Prospetto  Figura"/>
    <w:basedOn w:val="00TitProspetto"/>
    <w:link w:val="00TitoloProspettoFiguraCarattere"/>
    <w:qFormat/>
    <w:rsid w:val="00536462"/>
  </w:style>
  <w:style w:type="character" w:customStyle="1" w:styleId="00TitProspettoCarattere">
    <w:name w:val="00 Tit_Prospetto Carattere"/>
    <w:basedOn w:val="DefaultCarattere"/>
    <w:link w:val="00TitProspetto"/>
    <w:rsid w:val="00206F1B"/>
    <w:rPr>
      <w:rFonts w:ascii="Arial Narrow" w:hAnsi="Arial Narrow" w:cs="Arial"/>
      <w:b/>
      <w:bCs/>
      <w:caps/>
      <w:color w:val="808080" w:themeColor="background1" w:themeShade="80"/>
      <w:sz w:val="24"/>
      <w:szCs w:val="24"/>
    </w:rPr>
  </w:style>
  <w:style w:type="character" w:customStyle="1" w:styleId="00TitoloProspettoFiguraCarattere">
    <w:name w:val="00 Titolo Prospetto  Figura Carattere"/>
    <w:basedOn w:val="00TitProspettoCarattere"/>
    <w:link w:val="00TitoloProspettoFigura"/>
    <w:rsid w:val="00536462"/>
    <w:rPr>
      <w:rFonts w:ascii="Arial Narrow" w:hAnsi="Arial Narrow" w:cs="Arial"/>
      <w:b/>
      <w:bCs/>
      <w:caps/>
      <w:color w:val="808080" w:themeColor="background1" w:themeShade="80"/>
      <w:sz w:val="24"/>
      <w:szCs w:val="24"/>
    </w:rPr>
  </w:style>
  <w:style w:type="paragraph" w:styleId="Testofumetto">
    <w:name w:val="Balloon Text"/>
    <w:basedOn w:val="Normale"/>
    <w:link w:val="TestofumettoCarattere"/>
    <w:uiPriority w:val="99"/>
    <w:semiHidden/>
    <w:unhideWhenUsed/>
    <w:rsid w:val="009F67C5"/>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F67C5"/>
    <w:rPr>
      <w:rFonts w:ascii="Segoe UI" w:hAnsi="Segoe UI" w:cs="Segoe UI"/>
      <w:sz w:val="18"/>
      <w:szCs w:val="18"/>
    </w:rPr>
  </w:style>
  <w:style w:type="character" w:styleId="Rimandocommento">
    <w:name w:val="annotation reference"/>
    <w:basedOn w:val="Carpredefinitoparagrafo"/>
    <w:uiPriority w:val="99"/>
    <w:semiHidden/>
    <w:unhideWhenUsed/>
    <w:rsid w:val="00E477D2"/>
    <w:rPr>
      <w:sz w:val="16"/>
      <w:szCs w:val="16"/>
    </w:rPr>
  </w:style>
</w:styles>
</file>

<file path=word/webSettings.xml><?xml version="1.0" encoding="utf-8"?>
<w:webSettings xmlns:r="http://schemas.openxmlformats.org/officeDocument/2006/relationships" xmlns:w="http://schemas.openxmlformats.org/wordprocessingml/2006/main">
  <w:divs>
    <w:div w:id="10229390">
      <w:bodyDiv w:val="1"/>
      <w:marLeft w:val="0"/>
      <w:marRight w:val="0"/>
      <w:marTop w:val="0"/>
      <w:marBottom w:val="0"/>
      <w:divBdr>
        <w:top w:val="none" w:sz="0" w:space="0" w:color="auto"/>
        <w:left w:val="none" w:sz="0" w:space="0" w:color="auto"/>
        <w:bottom w:val="none" w:sz="0" w:space="0" w:color="auto"/>
        <w:right w:val="none" w:sz="0" w:space="0" w:color="auto"/>
      </w:divBdr>
    </w:div>
    <w:div w:id="13653520">
      <w:bodyDiv w:val="1"/>
      <w:marLeft w:val="0"/>
      <w:marRight w:val="0"/>
      <w:marTop w:val="0"/>
      <w:marBottom w:val="0"/>
      <w:divBdr>
        <w:top w:val="none" w:sz="0" w:space="0" w:color="auto"/>
        <w:left w:val="none" w:sz="0" w:space="0" w:color="auto"/>
        <w:bottom w:val="none" w:sz="0" w:space="0" w:color="auto"/>
        <w:right w:val="none" w:sz="0" w:space="0" w:color="auto"/>
      </w:divBdr>
    </w:div>
    <w:div w:id="17511474">
      <w:bodyDiv w:val="1"/>
      <w:marLeft w:val="0"/>
      <w:marRight w:val="0"/>
      <w:marTop w:val="0"/>
      <w:marBottom w:val="0"/>
      <w:divBdr>
        <w:top w:val="none" w:sz="0" w:space="0" w:color="auto"/>
        <w:left w:val="none" w:sz="0" w:space="0" w:color="auto"/>
        <w:bottom w:val="none" w:sz="0" w:space="0" w:color="auto"/>
        <w:right w:val="none" w:sz="0" w:space="0" w:color="auto"/>
      </w:divBdr>
    </w:div>
    <w:div w:id="23411847">
      <w:bodyDiv w:val="1"/>
      <w:marLeft w:val="0"/>
      <w:marRight w:val="0"/>
      <w:marTop w:val="0"/>
      <w:marBottom w:val="0"/>
      <w:divBdr>
        <w:top w:val="none" w:sz="0" w:space="0" w:color="auto"/>
        <w:left w:val="none" w:sz="0" w:space="0" w:color="auto"/>
        <w:bottom w:val="none" w:sz="0" w:space="0" w:color="auto"/>
        <w:right w:val="none" w:sz="0" w:space="0" w:color="auto"/>
      </w:divBdr>
    </w:div>
    <w:div w:id="23872057">
      <w:bodyDiv w:val="1"/>
      <w:marLeft w:val="0"/>
      <w:marRight w:val="0"/>
      <w:marTop w:val="0"/>
      <w:marBottom w:val="0"/>
      <w:divBdr>
        <w:top w:val="none" w:sz="0" w:space="0" w:color="auto"/>
        <w:left w:val="none" w:sz="0" w:space="0" w:color="auto"/>
        <w:bottom w:val="none" w:sz="0" w:space="0" w:color="auto"/>
        <w:right w:val="none" w:sz="0" w:space="0" w:color="auto"/>
      </w:divBdr>
    </w:div>
    <w:div w:id="34158557">
      <w:bodyDiv w:val="1"/>
      <w:marLeft w:val="0"/>
      <w:marRight w:val="0"/>
      <w:marTop w:val="0"/>
      <w:marBottom w:val="0"/>
      <w:divBdr>
        <w:top w:val="none" w:sz="0" w:space="0" w:color="auto"/>
        <w:left w:val="none" w:sz="0" w:space="0" w:color="auto"/>
        <w:bottom w:val="none" w:sz="0" w:space="0" w:color="auto"/>
        <w:right w:val="none" w:sz="0" w:space="0" w:color="auto"/>
      </w:divBdr>
    </w:div>
    <w:div w:id="38827447">
      <w:bodyDiv w:val="1"/>
      <w:marLeft w:val="0"/>
      <w:marRight w:val="0"/>
      <w:marTop w:val="0"/>
      <w:marBottom w:val="0"/>
      <w:divBdr>
        <w:top w:val="none" w:sz="0" w:space="0" w:color="auto"/>
        <w:left w:val="none" w:sz="0" w:space="0" w:color="auto"/>
        <w:bottom w:val="none" w:sz="0" w:space="0" w:color="auto"/>
        <w:right w:val="none" w:sz="0" w:space="0" w:color="auto"/>
      </w:divBdr>
    </w:div>
    <w:div w:id="40330730">
      <w:bodyDiv w:val="1"/>
      <w:marLeft w:val="0"/>
      <w:marRight w:val="0"/>
      <w:marTop w:val="0"/>
      <w:marBottom w:val="0"/>
      <w:divBdr>
        <w:top w:val="none" w:sz="0" w:space="0" w:color="auto"/>
        <w:left w:val="none" w:sz="0" w:space="0" w:color="auto"/>
        <w:bottom w:val="none" w:sz="0" w:space="0" w:color="auto"/>
        <w:right w:val="none" w:sz="0" w:space="0" w:color="auto"/>
      </w:divBdr>
    </w:div>
    <w:div w:id="47345442">
      <w:bodyDiv w:val="1"/>
      <w:marLeft w:val="0"/>
      <w:marRight w:val="0"/>
      <w:marTop w:val="0"/>
      <w:marBottom w:val="0"/>
      <w:divBdr>
        <w:top w:val="none" w:sz="0" w:space="0" w:color="auto"/>
        <w:left w:val="none" w:sz="0" w:space="0" w:color="auto"/>
        <w:bottom w:val="none" w:sz="0" w:space="0" w:color="auto"/>
        <w:right w:val="none" w:sz="0" w:space="0" w:color="auto"/>
      </w:divBdr>
    </w:div>
    <w:div w:id="48774446">
      <w:bodyDiv w:val="1"/>
      <w:marLeft w:val="0"/>
      <w:marRight w:val="0"/>
      <w:marTop w:val="0"/>
      <w:marBottom w:val="0"/>
      <w:divBdr>
        <w:top w:val="none" w:sz="0" w:space="0" w:color="auto"/>
        <w:left w:val="none" w:sz="0" w:space="0" w:color="auto"/>
        <w:bottom w:val="none" w:sz="0" w:space="0" w:color="auto"/>
        <w:right w:val="none" w:sz="0" w:space="0" w:color="auto"/>
      </w:divBdr>
    </w:div>
    <w:div w:id="60254291">
      <w:bodyDiv w:val="1"/>
      <w:marLeft w:val="0"/>
      <w:marRight w:val="0"/>
      <w:marTop w:val="0"/>
      <w:marBottom w:val="0"/>
      <w:divBdr>
        <w:top w:val="none" w:sz="0" w:space="0" w:color="auto"/>
        <w:left w:val="none" w:sz="0" w:space="0" w:color="auto"/>
        <w:bottom w:val="none" w:sz="0" w:space="0" w:color="auto"/>
        <w:right w:val="none" w:sz="0" w:space="0" w:color="auto"/>
      </w:divBdr>
    </w:div>
    <w:div w:id="69082614">
      <w:bodyDiv w:val="1"/>
      <w:marLeft w:val="0"/>
      <w:marRight w:val="0"/>
      <w:marTop w:val="0"/>
      <w:marBottom w:val="0"/>
      <w:divBdr>
        <w:top w:val="none" w:sz="0" w:space="0" w:color="auto"/>
        <w:left w:val="none" w:sz="0" w:space="0" w:color="auto"/>
        <w:bottom w:val="none" w:sz="0" w:space="0" w:color="auto"/>
        <w:right w:val="none" w:sz="0" w:space="0" w:color="auto"/>
      </w:divBdr>
    </w:div>
    <w:div w:id="72360843">
      <w:bodyDiv w:val="1"/>
      <w:marLeft w:val="0"/>
      <w:marRight w:val="0"/>
      <w:marTop w:val="0"/>
      <w:marBottom w:val="0"/>
      <w:divBdr>
        <w:top w:val="none" w:sz="0" w:space="0" w:color="auto"/>
        <w:left w:val="none" w:sz="0" w:space="0" w:color="auto"/>
        <w:bottom w:val="none" w:sz="0" w:space="0" w:color="auto"/>
        <w:right w:val="none" w:sz="0" w:space="0" w:color="auto"/>
      </w:divBdr>
    </w:div>
    <w:div w:id="82264495">
      <w:bodyDiv w:val="1"/>
      <w:marLeft w:val="0"/>
      <w:marRight w:val="0"/>
      <w:marTop w:val="0"/>
      <w:marBottom w:val="0"/>
      <w:divBdr>
        <w:top w:val="none" w:sz="0" w:space="0" w:color="auto"/>
        <w:left w:val="none" w:sz="0" w:space="0" w:color="auto"/>
        <w:bottom w:val="none" w:sz="0" w:space="0" w:color="auto"/>
        <w:right w:val="none" w:sz="0" w:space="0" w:color="auto"/>
      </w:divBdr>
    </w:div>
    <w:div w:id="87508486">
      <w:bodyDiv w:val="1"/>
      <w:marLeft w:val="0"/>
      <w:marRight w:val="0"/>
      <w:marTop w:val="0"/>
      <w:marBottom w:val="0"/>
      <w:divBdr>
        <w:top w:val="none" w:sz="0" w:space="0" w:color="auto"/>
        <w:left w:val="none" w:sz="0" w:space="0" w:color="auto"/>
        <w:bottom w:val="none" w:sz="0" w:space="0" w:color="auto"/>
        <w:right w:val="none" w:sz="0" w:space="0" w:color="auto"/>
      </w:divBdr>
    </w:div>
    <w:div w:id="93982103">
      <w:bodyDiv w:val="1"/>
      <w:marLeft w:val="0"/>
      <w:marRight w:val="0"/>
      <w:marTop w:val="0"/>
      <w:marBottom w:val="0"/>
      <w:divBdr>
        <w:top w:val="none" w:sz="0" w:space="0" w:color="auto"/>
        <w:left w:val="none" w:sz="0" w:space="0" w:color="auto"/>
        <w:bottom w:val="none" w:sz="0" w:space="0" w:color="auto"/>
        <w:right w:val="none" w:sz="0" w:space="0" w:color="auto"/>
      </w:divBdr>
    </w:div>
    <w:div w:id="102265233">
      <w:bodyDiv w:val="1"/>
      <w:marLeft w:val="0"/>
      <w:marRight w:val="0"/>
      <w:marTop w:val="0"/>
      <w:marBottom w:val="0"/>
      <w:divBdr>
        <w:top w:val="none" w:sz="0" w:space="0" w:color="auto"/>
        <w:left w:val="none" w:sz="0" w:space="0" w:color="auto"/>
        <w:bottom w:val="none" w:sz="0" w:space="0" w:color="auto"/>
        <w:right w:val="none" w:sz="0" w:space="0" w:color="auto"/>
      </w:divBdr>
    </w:div>
    <w:div w:id="107117535">
      <w:bodyDiv w:val="1"/>
      <w:marLeft w:val="0"/>
      <w:marRight w:val="0"/>
      <w:marTop w:val="0"/>
      <w:marBottom w:val="0"/>
      <w:divBdr>
        <w:top w:val="none" w:sz="0" w:space="0" w:color="auto"/>
        <w:left w:val="none" w:sz="0" w:space="0" w:color="auto"/>
        <w:bottom w:val="none" w:sz="0" w:space="0" w:color="auto"/>
        <w:right w:val="none" w:sz="0" w:space="0" w:color="auto"/>
      </w:divBdr>
    </w:div>
    <w:div w:id="119614859">
      <w:bodyDiv w:val="1"/>
      <w:marLeft w:val="0"/>
      <w:marRight w:val="0"/>
      <w:marTop w:val="0"/>
      <w:marBottom w:val="0"/>
      <w:divBdr>
        <w:top w:val="none" w:sz="0" w:space="0" w:color="auto"/>
        <w:left w:val="none" w:sz="0" w:space="0" w:color="auto"/>
        <w:bottom w:val="none" w:sz="0" w:space="0" w:color="auto"/>
        <w:right w:val="none" w:sz="0" w:space="0" w:color="auto"/>
      </w:divBdr>
    </w:div>
    <w:div w:id="124391804">
      <w:bodyDiv w:val="1"/>
      <w:marLeft w:val="0"/>
      <w:marRight w:val="0"/>
      <w:marTop w:val="0"/>
      <w:marBottom w:val="0"/>
      <w:divBdr>
        <w:top w:val="none" w:sz="0" w:space="0" w:color="auto"/>
        <w:left w:val="none" w:sz="0" w:space="0" w:color="auto"/>
        <w:bottom w:val="none" w:sz="0" w:space="0" w:color="auto"/>
        <w:right w:val="none" w:sz="0" w:space="0" w:color="auto"/>
      </w:divBdr>
    </w:div>
    <w:div w:id="128591735">
      <w:bodyDiv w:val="1"/>
      <w:marLeft w:val="0"/>
      <w:marRight w:val="0"/>
      <w:marTop w:val="0"/>
      <w:marBottom w:val="0"/>
      <w:divBdr>
        <w:top w:val="none" w:sz="0" w:space="0" w:color="auto"/>
        <w:left w:val="none" w:sz="0" w:space="0" w:color="auto"/>
        <w:bottom w:val="none" w:sz="0" w:space="0" w:color="auto"/>
        <w:right w:val="none" w:sz="0" w:space="0" w:color="auto"/>
      </w:divBdr>
    </w:div>
    <w:div w:id="132601899">
      <w:bodyDiv w:val="1"/>
      <w:marLeft w:val="0"/>
      <w:marRight w:val="0"/>
      <w:marTop w:val="0"/>
      <w:marBottom w:val="0"/>
      <w:divBdr>
        <w:top w:val="none" w:sz="0" w:space="0" w:color="auto"/>
        <w:left w:val="none" w:sz="0" w:space="0" w:color="auto"/>
        <w:bottom w:val="none" w:sz="0" w:space="0" w:color="auto"/>
        <w:right w:val="none" w:sz="0" w:space="0" w:color="auto"/>
      </w:divBdr>
      <w:divsChild>
        <w:div w:id="1184635286">
          <w:marLeft w:val="0"/>
          <w:marRight w:val="0"/>
          <w:marTop w:val="0"/>
          <w:marBottom w:val="0"/>
          <w:divBdr>
            <w:top w:val="none" w:sz="0" w:space="0" w:color="auto"/>
            <w:left w:val="none" w:sz="0" w:space="0" w:color="auto"/>
            <w:bottom w:val="none" w:sz="0" w:space="0" w:color="auto"/>
            <w:right w:val="none" w:sz="0" w:space="0" w:color="auto"/>
          </w:divBdr>
        </w:div>
      </w:divsChild>
    </w:div>
    <w:div w:id="142738957">
      <w:bodyDiv w:val="1"/>
      <w:marLeft w:val="0"/>
      <w:marRight w:val="0"/>
      <w:marTop w:val="0"/>
      <w:marBottom w:val="0"/>
      <w:divBdr>
        <w:top w:val="none" w:sz="0" w:space="0" w:color="auto"/>
        <w:left w:val="none" w:sz="0" w:space="0" w:color="auto"/>
        <w:bottom w:val="none" w:sz="0" w:space="0" w:color="auto"/>
        <w:right w:val="none" w:sz="0" w:space="0" w:color="auto"/>
      </w:divBdr>
    </w:div>
    <w:div w:id="145783438">
      <w:bodyDiv w:val="1"/>
      <w:marLeft w:val="0"/>
      <w:marRight w:val="0"/>
      <w:marTop w:val="0"/>
      <w:marBottom w:val="0"/>
      <w:divBdr>
        <w:top w:val="none" w:sz="0" w:space="0" w:color="auto"/>
        <w:left w:val="none" w:sz="0" w:space="0" w:color="auto"/>
        <w:bottom w:val="none" w:sz="0" w:space="0" w:color="auto"/>
        <w:right w:val="none" w:sz="0" w:space="0" w:color="auto"/>
      </w:divBdr>
    </w:div>
    <w:div w:id="151069396">
      <w:bodyDiv w:val="1"/>
      <w:marLeft w:val="0"/>
      <w:marRight w:val="0"/>
      <w:marTop w:val="0"/>
      <w:marBottom w:val="0"/>
      <w:divBdr>
        <w:top w:val="none" w:sz="0" w:space="0" w:color="auto"/>
        <w:left w:val="none" w:sz="0" w:space="0" w:color="auto"/>
        <w:bottom w:val="none" w:sz="0" w:space="0" w:color="auto"/>
        <w:right w:val="none" w:sz="0" w:space="0" w:color="auto"/>
      </w:divBdr>
    </w:div>
    <w:div w:id="163322094">
      <w:bodyDiv w:val="1"/>
      <w:marLeft w:val="0"/>
      <w:marRight w:val="0"/>
      <w:marTop w:val="0"/>
      <w:marBottom w:val="0"/>
      <w:divBdr>
        <w:top w:val="none" w:sz="0" w:space="0" w:color="auto"/>
        <w:left w:val="none" w:sz="0" w:space="0" w:color="auto"/>
        <w:bottom w:val="none" w:sz="0" w:space="0" w:color="auto"/>
        <w:right w:val="none" w:sz="0" w:space="0" w:color="auto"/>
      </w:divBdr>
    </w:div>
    <w:div w:id="166333730">
      <w:bodyDiv w:val="1"/>
      <w:marLeft w:val="0"/>
      <w:marRight w:val="0"/>
      <w:marTop w:val="0"/>
      <w:marBottom w:val="0"/>
      <w:divBdr>
        <w:top w:val="none" w:sz="0" w:space="0" w:color="auto"/>
        <w:left w:val="none" w:sz="0" w:space="0" w:color="auto"/>
        <w:bottom w:val="none" w:sz="0" w:space="0" w:color="auto"/>
        <w:right w:val="none" w:sz="0" w:space="0" w:color="auto"/>
      </w:divBdr>
    </w:div>
    <w:div w:id="167641130">
      <w:bodyDiv w:val="1"/>
      <w:marLeft w:val="0"/>
      <w:marRight w:val="0"/>
      <w:marTop w:val="0"/>
      <w:marBottom w:val="0"/>
      <w:divBdr>
        <w:top w:val="none" w:sz="0" w:space="0" w:color="auto"/>
        <w:left w:val="none" w:sz="0" w:space="0" w:color="auto"/>
        <w:bottom w:val="none" w:sz="0" w:space="0" w:color="auto"/>
        <w:right w:val="none" w:sz="0" w:space="0" w:color="auto"/>
      </w:divBdr>
    </w:div>
    <w:div w:id="176235706">
      <w:bodyDiv w:val="1"/>
      <w:marLeft w:val="0"/>
      <w:marRight w:val="0"/>
      <w:marTop w:val="0"/>
      <w:marBottom w:val="0"/>
      <w:divBdr>
        <w:top w:val="none" w:sz="0" w:space="0" w:color="auto"/>
        <w:left w:val="none" w:sz="0" w:space="0" w:color="auto"/>
        <w:bottom w:val="none" w:sz="0" w:space="0" w:color="auto"/>
        <w:right w:val="none" w:sz="0" w:space="0" w:color="auto"/>
      </w:divBdr>
    </w:div>
    <w:div w:id="185094676">
      <w:bodyDiv w:val="1"/>
      <w:marLeft w:val="0"/>
      <w:marRight w:val="0"/>
      <w:marTop w:val="0"/>
      <w:marBottom w:val="0"/>
      <w:divBdr>
        <w:top w:val="none" w:sz="0" w:space="0" w:color="auto"/>
        <w:left w:val="none" w:sz="0" w:space="0" w:color="auto"/>
        <w:bottom w:val="none" w:sz="0" w:space="0" w:color="auto"/>
        <w:right w:val="none" w:sz="0" w:space="0" w:color="auto"/>
      </w:divBdr>
    </w:div>
    <w:div w:id="203179459">
      <w:bodyDiv w:val="1"/>
      <w:marLeft w:val="0"/>
      <w:marRight w:val="0"/>
      <w:marTop w:val="0"/>
      <w:marBottom w:val="0"/>
      <w:divBdr>
        <w:top w:val="none" w:sz="0" w:space="0" w:color="auto"/>
        <w:left w:val="none" w:sz="0" w:space="0" w:color="auto"/>
        <w:bottom w:val="none" w:sz="0" w:space="0" w:color="auto"/>
        <w:right w:val="none" w:sz="0" w:space="0" w:color="auto"/>
      </w:divBdr>
    </w:div>
    <w:div w:id="203300142">
      <w:bodyDiv w:val="1"/>
      <w:marLeft w:val="0"/>
      <w:marRight w:val="0"/>
      <w:marTop w:val="0"/>
      <w:marBottom w:val="0"/>
      <w:divBdr>
        <w:top w:val="none" w:sz="0" w:space="0" w:color="auto"/>
        <w:left w:val="none" w:sz="0" w:space="0" w:color="auto"/>
        <w:bottom w:val="none" w:sz="0" w:space="0" w:color="auto"/>
        <w:right w:val="none" w:sz="0" w:space="0" w:color="auto"/>
      </w:divBdr>
    </w:div>
    <w:div w:id="220488370">
      <w:bodyDiv w:val="1"/>
      <w:marLeft w:val="0"/>
      <w:marRight w:val="0"/>
      <w:marTop w:val="0"/>
      <w:marBottom w:val="0"/>
      <w:divBdr>
        <w:top w:val="none" w:sz="0" w:space="0" w:color="auto"/>
        <w:left w:val="none" w:sz="0" w:space="0" w:color="auto"/>
        <w:bottom w:val="none" w:sz="0" w:space="0" w:color="auto"/>
        <w:right w:val="none" w:sz="0" w:space="0" w:color="auto"/>
      </w:divBdr>
    </w:div>
    <w:div w:id="225268517">
      <w:bodyDiv w:val="1"/>
      <w:marLeft w:val="0"/>
      <w:marRight w:val="0"/>
      <w:marTop w:val="0"/>
      <w:marBottom w:val="0"/>
      <w:divBdr>
        <w:top w:val="none" w:sz="0" w:space="0" w:color="auto"/>
        <w:left w:val="none" w:sz="0" w:space="0" w:color="auto"/>
        <w:bottom w:val="none" w:sz="0" w:space="0" w:color="auto"/>
        <w:right w:val="none" w:sz="0" w:space="0" w:color="auto"/>
      </w:divBdr>
    </w:div>
    <w:div w:id="229853486">
      <w:bodyDiv w:val="1"/>
      <w:marLeft w:val="0"/>
      <w:marRight w:val="0"/>
      <w:marTop w:val="0"/>
      <w:marBottom w:val="0"/>
      <w:divBdr>
        <w:top w:val="none" w:sz="0" w:space="0" w:color="auto"/>
        <w:left w:val="none" w:sz="0" w:space="0" w:color="auto"/>
        <w:bottom w:val="none" w:sz="0" w:space="0" w:color="auto"/>
        <w:right w:val="none" w:sz="0" w:space="0" w:color="auto"/>
      </w:divBdr>
    </w:div>
    <w:div w:id="233514904">
      <w:bodyDiv w:val="1"/>
      <w:marLeft w:val="0"/>
      <w:marRight w:val="0"/>
      <w:marTop w:val="0"/>
      <w:marBottom w:val="0"/>
      <w:divBdr>
        <w:top w:val="none" w:sz="0" w:space="0" w:color="auto"/>
        <w:left w:val="none" w:sz="0" w:space="0" w:color="auto"/>
        <w:bottom w:val="none" w:sz="0" w:space="0" w:color="auto"/>
        <w:right w:val="none" w:sz="0" w:space="0" w:color="auto"/>
      </w:divBdr>
    </w:div>
    <w:div w:id="234442127">
      <w:bodyDiv w:val="1"/>
      <w:marLeft w:val="0"/>
      <w:marRight w:val="0"/>
      <w:marTop w:val="0"/>
      <w:marBottom w:val="0"/>
      <w:divBdr>
        <w:top w:val="none" w:sz="0" w:space="0" w:color="auto"/>
        <w:left w:val="none" w:sz="0" w:space="0" w:color="auto"/>
        <w:bottom w:val="none" w:sz="0" w:space="0" w:color="auto"/>
        <w:right w:val="none" w:sz="0" w:space="0" w:color="auto"/>
      </w:divBdr>
    </w:div>
    <w:div w:id="247807000">
      <w:bodyDiv w:val="1"/>
      <w:marLeft w:val="0"/>
      <w:marRight w:val="0"/>
      <w:marTop w:val="0"/>
      <w:marBottom w:val="0"/>
      <w:divBdr>
        <w:top w:val="none" w:sz="0" w:space="0" w:color="auto"/>
        <w:left w:val="none" w:sz="0" w:space="0" w:color="auto"/>
        <w:bottom w:val="none" w:sz="0" w:space="0" w:color="auto"/>
        <w:right w:val="none" w:sz="0" w:space="0" w:color="auto"/>
      </w:divBdr>
    </w:div>
    <w:div w:id="260769603">
      <w:bodyDiv w:val="1"/>
      <w:marLeft w:val="0"/>
      <w:marRight w:val="0"/>
      <w:marTop w:val="0"/>
      <w:marBottom w:val="0"/>
      <w:divBdr>
        <w:top w:val="none" w:sz="0" w:space="0" w:color="auto"/>
        <w:left w:val="none" w:sz="0" w:space="0" w:color="auto"/>
        <w:bottom w:val="none" w:sz="0" w:space="0" w:color="auto"/>
        <w:right w:val="none" w:sz="0" w:space="0" w:color="auto"/>
      </w:divBdr>
    </w:div>
    <w:div w:id="261105549">
      <w:bodyDiv w:val="1"/>
      <w:marLeft w:val="0"/>
      <w:marRight w:val="0"/>
      <w:marTop w:val="0"/>
      <w:marBottom w:val="0"/>
      <w:divBdr>
        <w:top w:val="none" w:sz="0" w:space="0" w:color="auto"/>
        <w:left w:val="none" w:sz="0" w:space="0" w:color="auto"/>
        <w:bottom w:val="none" w:sz="0" w:space="0" w:color="auto"/>
        <w:right w:val="none" w:sz="0" w:space="0" w:color="auto"/>
      </w:divBdr>
    </w:div>
    <w:div w:id="264920814">
      <w:bodyDiv w:val="1"/>
      <w:marLeft w:val="0"/>
      <w:marRight w:val="0"/>
      <w:marTop w:val="0"/>
      <w:marBottom w:val="0"/>
      <w:divBdr>
        <w:top w:val="none" w:sz="0" w:space="0" w:color="auto"/>
        <w:left w:val="none" w:sz="0" w:space="0" w:color="auto"/>
        <w:bottom w:val="none" w:sz="0" w:space="0" w:color="auto"/>
        <w:right w:val="none" w:sz="0" w:space="0" w:color="auto"/>
      </w:divBdr>
    </w:div>
    <w:div w:id="269902205">
      <w:bodyDiv w:val="1"/>
      <w:marLeft w:val="0"/>
      <w:marRight w:val="0"/>
      <w:marTop w:val="0"/>
      <w:marBottom w:val="0"/>
      <w:divBdr>
        <w:top w:val="none" w:sz="0" w:space="0" w:color="auto"/>
        <w:left w:val="none" w:sz="0" w:space="0" w:color="auto"/>
        <w:bottom w:val="none" w:sz="0" w:space="0" w:color="auto"/>
        <w:right w:val="none" w:sz="0" w:space="0" w:color="auto"/>
      </w:divBdr>
    </w:div>
    <w:div w:id="283384788">
      <w:bodyDiv w:val="1"/>
      <w:marLeft w:val="0"/>
      <w:marRight w:val="0"/>
      <w:marTop w:val="0"/>
      <w:marBottom w:val="0"/>
      <w:divBdr>
        <w:top w:val="none" w:sz="0" w:space="0" w:color="auto"/>
        <w:left w:val="none" w:sz="0" w:space="0" w:color="auto"/>
        <w:bottom w:val="none" w:sz="0" w:space="0" w:color="auto"/>
        <w:right w:val="none" w:sz="0" w:space="0" w:color="auto"/>
      </w:divBdr>
    </w:div>
    <w:div w:id="289432872">
      <w:bodyDiv w:val="1"/>
      <w:marLeft w:val="0"/>
      <w:marRight w:val="0"/>
      <w:marTop w:val="0"/>
      <w:marBottom w:val="0"/>
      <w:divBdr>
        <w:top w:val="none" w:sz="0" w:space="0" w:color="auto"/>
        <w:left w:val="none" w:sz="0" w:space="0" w:color="auto"/>
        <w:bottom w:val="none" w:sz="0" w:space="0" w:color="auto"/>
        <w:right w:val="none" w:sz="0" w:space="0" w:color="auto"/>
      </w:divBdr>
    </w:div>
    <w:div w:id="290483992">
      <w:bodyDiv w:val="1"/>
      <w:marLeft w:val="0"/>
      <w:marRight w:val="0"/>
      <w:marTop w:val="0"/>
      <w:marBottom w:val="0"/>
      <w:divBdr>
        <w:top w:val="none" w:sz="0" w:space="0" w:color="auto"/>
        <w:left w:val="none" w:sz="0" w:space="0" w:color="auto"/>
        <w:bottom w:val="none" w:sz="0" w:space="0" w:color="auto"/>
        <w:right w:val="none" w:sz="0" w:space="0" w:color="auto"/>
      </w:divBdr>
    </w:div>
    <w:div w:id="299652256">
      <w:bodyDiv w:val="1"/>
      <w:marLeft w:val="0"/>
      <w:marRight w:val="0"/>
      <w:marTop w:val="0"/>
      <w:marBottom w:val="0"/>
      <w:divBdr>
        <w:top w:val="none" w:sz="0" w:space="0" w:color="auto"/>
        <w:left w:val="none" w:sz="0" w:space="0" w:color="auto"/>
        <w:bottom w:val="none" w:sz="0" w:space="0" w:color="auto"/>
        <w:right w:val="none" w:sz="0" w:space="0" w:color="auto"/>
      </w:divBdr>
    </w:div>
    <w:div w:id="307975412">
      <w:bodyDiv w:val="1"/>
      <w:marLeft w:val="0"/>
      <w:marRight w:val="0"/>
      <w:marTop w:val="0"/>
      <w:marBottom w:val="0"/>
      <w:divBdr>
        <w:top w:val="none" w:sz="0" w:space="0" w:color="auto"/>
        <w:left w:val="none" w:sz="0" w:space="0" w:color="auto"/>
        <w:bottom w:val="none" w:sz="0" w:space="0" w:color="auto"/>
        <w:right w:val="none" w:sz="0" w:space="0" w:color="auto"/>
      </w:divBdr>
    </w:div>
    <w:div w:id="308441577">
      <w:bodyDiv w:val="1"/>
      <w:marLeft w:val="0"/>
      <w:marRight w:val="0"/>
      <w:marTop w:val="0"/>
      <w:marBottom w:val="0"/>
      <w:divBdr>
        <w:top w:val="none" w:sz="0" w:space="0" w:color="auto"/>
        <w:left w:val="none" w:sz="0" w:space="0" w:color="auto"/>
        <w:bottom w:val="none" w:sz="0" w:space="0" w:color="auto"/>
        <w:right w:val="none" w:sz="0" w:space="0" w:color="auto"/>
      </w:divBdr>
    </w:div>
    <w:div w:id="308555201">
      <w:bodyDiv w:val="1"/>
      <w:marLeft w:val="0"/>
      <w:marRight w:val="0"/>
      <w:marTop w:val="0"/>
      <w:marBottom w:val="0"/>
      <w:divBdr>
        <w:top w:val="none" w:sz="0" w:space="0" w:color="auto"/>
        <w:left w:val="none" w:sz="0" w:space="0" w:color="auto"/>
        <w:bottom w:val="none" w:sz="0" w:space="0" w:color="auto"/>
        <w:right w:val="none" w:sz="0" w:space="0" w:color="auto"/>
      </w:divBdr>
    </w:div>
    <w:div w:id="324863384">
      <w:bodyDiv w:val="1"/>
      <w:marLeft w:val="0"/>
      <w:marRight w:val="0"/>
      <w:marTop w:val="0"/>
      <w:marBottom w:val="0"/>
      <w:divBdr>
        <w:top w:val="none" w:sz="0" w:space="0" w:color="auto"/>
        <w:left w:val="none" w:sz="0" w:space="0" w:color="auto"/>
        <w:bottom w:val="none" w:sz="0" w:space="0" w:color="auto"/>
        <w:right w:val="none" w:sz="0" w:space="0" w:color="auto"/>
      </w:divBdr>
    </w:div>
    <w:div w:id="353923540">
      <w:bodyDiv w:val="1"/>
      <w:marLeft w:val="0"/>
      <w:marRight w:val="0"/>
      <w:marTop w:val="0"/>
      <w:marBottom w:val="0"/>
      <w:divBdr>
        <w:top w:val="none" w:sz="0" w:space="0" w:color="auto"/>
        <w:left w:val="none" w:sz="0" w:space="0" w:color="auto"/>
        <w:bottom w:val="none" w:sz="0" w:space="0" w:color="auto"/>
        <w:right w:val="none" w:sz="0" w:space="0" w:color="auto"/>
      </w:divBdr>
    </w:div>
    <w:div w:id="363336433">
      <w:bodyDiv w:val="1"/>
      <w:marLeft w:val="0"/>
      <w:marRight w:val="0"/>
      <w:marTop w:val="0"/>
      <w:marBottom w:val="0"/>
      <w:divBdr>
        <w:top w:val="none" w:sz="0" w:space="0" w:color="auto"/>
        <w:left w:val="none" w:sz="0" w:space="0" w:color="auto"/>
        <w:bottom w:val="none" w:sz="0" w:space="0" w:color="auto"/>
        <w:right w:val="none" w:sz="0" w:space="0" w:color="auto"/>
      </w:divBdr>
    </w:div>
    <w:div w:id="373579084">
      <w:bodyDiv w:val="1"/>
      <w:marLeft w:val="0"/>
      <w:marRight w:val="0"/>
      <w:marTop w:val="0"/>
      <w:marBottom w:val="0"/>
      <w:divBdr>
        <w:top w:val="none" w:sz="0" w:space="0" w:color="auto"/>
        <w:left w:val="none" w:sz="0" w:space="0" w:color="auto"/>
        <w:bottom w:val="none" w:sz="0" w:space="0" w:color="auto"/>
        <w:right w:val="none" w:sz="0" w:space="0" w:color="auto"/>
      </w:divBdr>
    </w:div>
    <w:div w:id="394355542">
      <w:bodyDiv w:val="1"/>
      <w:marLeft w:val="0"/>
      <w:marRight w:val="0"/>
      <w:marTop w:val="0"/>
      <w:marBottom w:val="0"/>
      <w:divBdr>
        <w:top w:val="none" w:sz="0" w:space="0" w:color="auto"/>
        <w:left w:val="none" w:sz="0" w:space="0" w:color="auto"/>
        <w:bottom w:val="none" w:sz="0" w:space="0" w:color="auto"/>
        <w:right w:val="none" w:sz="0" w:space="0" w:color="auto"/>
      </w:divBdr>
    </w:div>
    <w:div w:id="400761846">
      <w:bodyDiv w:val="1"/>
      <w:marLeft w:val="0"/>
      <w:marRight w:val="0"/>
      <w:marTop w:val="0"/>
      <w:marBottom w:val="0"/>
      <w:divBdr>
        <w:top w:val="none" w:sz="0" w:space="0" w:color="auto"/>
        <w:left w:val="none" w:sz="0" w:space="0" w:color="auto"/>
        <w:bottom w:val="none" w:sz="0" w:space="0" w:color="auto"/>
        <w:right w:val="none" w:sz="0" w:space="0" w:color="auto"/>
      </w:divBdr>
    </w:div>
    <w:div w:id="410856735">
      <w:bodyDiv w:val="1"/>
      <w:marLeft w:val="0"/>
      <w:marRight w:val="0"/>
      <w:marTop w:val="0"/>
      <w:marBottom w:val="0"/>
      <w:divBdr>
        <w:top w:val="none" w:sz="0" w:space="0" w:color="auto"/>
        <w:left w:val="none" w:sz="0" w:space="0" w:color="auto"/>
        <w:bottom w:val="none" w:sz="0" w:space="0" w:color="auto"/>
        <w:right w:val="none" w:sz="0" w:space="0" w:color="auto"/>
      </w:divBdr>
    </w:div>
    <w:div w:id="432435057">
      <w:bodyDiv w:val="1"/>
      <w:marLeft w:val="0"/>
      <w:marRight w:val="0"/>
      <w:marTop w:val="0"/>
      <w:marBottom w:val="0"/>
      <w:divBdr>
        <w:top w:val="none" w:sz="0" w:space="0" w:color="auto"/>
        <w:left w:val="none" w:sz="0" w:space="0" w:color="auto"/>
        <w:bottom w:val="none" w:sz="0" w:space="0" w:color="auto"/>
        <w:right w:val="none" w:sz="0" w:space="0" w:color="auto"/>
      </w:divBdr>
    </w:div>
    <w:div w:id="435055076">
      <w:bodyDiv w:val="1"/>
      <w:marLeft w:val="0"/>
      <w:marRight w:val="0"/>
      <w:marTop w:val="0"/>
      <w:marBottom w:val="0"/>
      <w:divBdr>
        <w:top w:val="none" w:sz="0" w:space="0" w:color="auto"/>
        <w:left w:val="none" w:sz="0" w:space="0" w:color="auto"/>
        <w:bottom w:val="none" w:sz="0" w:space="0" w:color="auto"/>
        <w:right w:val="none" w:sz="0" w:space="0" w:color="auto"/>
      </w:divBdr>
    </w:div>
    <w:div w:id="445395918">
      <w:bodyDiv w:val="1"/>
      <w:marLeft w:val="0"/>
      <w:marRight w:val="0"/>
      <w:marTop w:val="0"/>
      <w:marBottom w:val="0"/>
      <w:divBdr>
        <w:top w:val="none" w:sz="0" w:space="0" w:color="auto"/>
        <w:left w:val="none" w:sz="0" w:space="0" w:color="auto"/>
        <w:bottom w:val="none" w:sz="0" w:space="0" w:color="auto"/>
        <w:right w:val="none" w:sz="0" w:space="0" w:color="auto"/>
      </w:divBdr>
    </w:div>
    <w:div w:id="447940573">
      <w:bodyDiv w:val="1"/>
      <w:marLeft w:val="0"/>
      <w:marRight w:val="0"/>
      <w:marTop w:val="0"/>
      <w:marBottom w:val="0"/>
      <w:divBdr>
        <w:top w:val="none" w:sz="0" w:space="0" w:color="auto"/>
        <w:left w:val="none" w:sz="0" w:space="0" w:color="auto"/>
        <w:bottom w:val="none" w:sz="0" w:space="0" w:color="auto"/>
        <w:right w:val="none" w:sz="0" w:space="0" w:color="auto"/>
      </w:divBdr>
    </w:div>
    <w:div w:id="452752924">
      <w:bodyDiv w:val="1"/>
      <w:marLeft w:val="0"/>
      <w:marRight w:val="0"/>
      <w:marTop w:val="0"/>
      <w:marBottom w:val="0"/>
      <w:divBdr>
        <w:top w:val="none" w:sz="0" w:space="0" w:color="auto"/>
        <w:left w:val="none" w:sz="0" w:space="0" w:color="auto"/>
        <w:bottom w:val="none" w:sz="0" w:space="0" w:color="auto"/>
        <w:right w:val="none" w:sz="0" w:space="0" w:color="auto"/>
      </w:divBdr>
    </w:div>
    <w:div w:id="456530903">
      <w:bodyDiv w:val="1"/>
      <w:marLeft w:val="0"/>
      <w:marRight w:val="0"/>
      <w:marTop w:val="0"/>
      <w:marBottom w:val="0"/>
      <w:divBdr>
        <w:top w:val="none" w:sz="0" w:space="0" w:color="auto"/>
        <w:left w:val="none" w:sz="0" w:space="0" w:color="auto"/>
        <w:bottom w:val="none" w:sz="0" w:space="0" w:color="auto"/>
        <w:right w:val="none" w:sz="0" w:space="0" w:color="auto"/>
      </w:divBdr>
    </w:div>
    <w:div w:id="459610394">
      <w:bodyDiv w:val="1"/>
      <w:marLeft w:val="0"/>
      <w:marRight w:val="0"/>
      <w:marTop w:val="0"/>
      <w:marBottom w:val="0"/>
      <w:divBdr>
        <w:top w:val="none" w:sz="0" w:space="0" w:color="auto"/>
        <w:left w:val="none" w:sz="0" w:space="0" w:color="auto"/>
        <w:bottom w:val="none" w:sz="0" w:space="0" w:color="auto"/>
        <w:right w:val="none" w:sz="0" w:space="0" w:color="auto"/>
      </w:divBdr>
    </w:div>
    <w:div w:id="459688444">
      <w:bodyDiv w:val="1"/>
      <w:marLeft w:val="0"/>
      <w:marRight w:val="0"/>
      <w:marTop w:val="0"/>
      <w:marBottom w:val="0"/>
      <w:divBdr>
        <w:top w:val="none" w:sz="0" w:space="0" w:color="auto"/>
        <w:left w:val="none" w:sz="0" w:space="0" w:color="auto"/>
        <w:bottom w:val="none" w:sz="0" w:space="0" w:color="auto"/>
        <w:right w:val="none" w:sz="0" w:space="0" w:color="auto"/>
      </w:divBdr>
    </w:div>
    <w:div w:id="469057751">
      <w:bodyDiv w:val="1"/>
      <w:marLeft w:val="0"/>
      <w:marRight w:val="0"/>
      <w:marTop w:val="0"/>
      <w:marBottom w:val="0"/>
      <w:divBdr>
        <w:top w:val="none" w:sz="0" w:space="0" w:color="auto"/>
        <w:left w:val="none" w:sz="0" w:space="0" w:color="auto"/>
        <w:bottom w:val="none" w:sz="0" w:space="0" w:color="auto"/>
        <w:right w:val="none" w:sz="0" w:space="0" w:color="auto"/>
      </w:divBdr>
    </w:div>
    <w:div w:id="477037447">
      <w:bodyDiv w:val="1"/>
      <w:marLeft w:val="0"/>
      <w:marRight w:val="0"/>
      <w:marTop w:val="0"/>
      <w:marBottom w:val="0"/>
      <w:divBdr>
        <w:top w:val="none" w:sz="0" w:space="0" w:color="auto"/>
        <w:left w:val="none" w:sz="0" w:space="0" w:color="auto"/>
        <w:bottom w:val="none" w:sz="0" w:space="0" w:color="auto"/>
        <w:right w:val="none" w:sz="0" w:space="0" w:color="auto"/>
      </w:divBdr>
    </w:div>
    <w:div w:id="486093695">
      <w:bodyDiv w:val="1"/>
      <w:marLeft w:val="0"/>
      <w:marRight w:val="0"/>
      <w:marTop w:val="0"/>
      <w:marBottom w:val="0"/>
      <w:divBdr>
        <w:top w:val="none" w:sz="0" w:space="0" w:color="auto"/>
        <w:left w:val="none" w:sz="0" w:space="0" w:color="auto"/>
        <w:bottom w:val="none" w:sz="0" w:space="0" w:color="auto"/>
        <w:right w:val="none" w:sz="0" w:space="0" w:color="auto"/>
      </w:divBdr>
    </w:div>
    <w:div w:id="491407583">
      <w:bodyDiv w:val="1"/>
      <w:marLeft w:val="0"/>
      <w:marRight w:val="0"/>
      <w:marTop w:val="0"/>
      <w:marBottom w:val="0"/>
      <w:divBdr>
        <w:top w:val="none" w:sz="0" w:space="0" w:color="auto"/>
        <w:left w:val="none" w:sz="0" w:space="0" w:color="auto"/>
        <w:bottom w:val="none" w:sz="0" w:space="0" w:color="auto"/>
        <w:right w:val="none" w:sz="0" w:space="0" w:color="auto"/>
      </w:divBdr>
    </w:div>
    <w:div w:id="492138630">
      <w:bodyDiv w:val="1"/>
      <w:marLeft w:val="0"/>
      <w:marRight w:val="0"/>
      <w:marTop w:val="0"/>
      <w:marBottom w:val="0"/>
      <w:divBdr>
        <w:top w:val="none" w:sz="0" w:space="0" w:color="auto"/>
        <w:left w:val="none" w:sz="0" w:space="0" w:color="auto"/>
        <w:bottom w:val="none" w:sz="0" w:space="0" w:color="auto"/>
        <w:right w:val="none" w:sz="0" w:space="0" w:color="auto"/>
      </w:divBdr>
    </w:div>
    <w:div w:id="492374843">
      <w:bodyDiv w:val="1"/>
      <w:marLeft w:val="0"/>
      <w:marRight w:val="0"/>
      <w:marTop w:val="0"/>
      <w:marBottom w:val="0"/>
      <w:divBdr>
        <w:top w:val="none" w:sz="0" w:space="0" w:color="auto"/>
        <w:left w:val="none" w:sz="0" w:space="0" w:color="auto"/>
        <w:bottom w:val="none" w:sz="0" w:space="0" w:color="auto"/>
        <w:right w:val="none" w:sz="0" w:space="0" w:color="auto"/>
      </w:divBdr>
    </w:div>
    <w:div w:id="505364868">
      <w:bodyDiv w:val="1"/>
      <w:marLeft w:val="0"/>
      <w:marRight w:val="0"/>
      <w:marTop w:val="0"/>
      <w:marBottom w:val="0"/>
      <w:divBdr>
        <w:top w:val="none" w:sz="0" w:space="0" w:color="auto"/>
        <w:left w:val="none" w:sz="0" w:space="0" w:color="auto"/>
        <w:bottom w:val="none" w:sz="0" w:space="0" w:color="auto"/>
        <w:right w:val="none" w:sz="0" w:space="0" w:color="auto"/>
      </w:divBdr>
    </w:div>
    <w:div w:id="513540786">
      <w:bodyDiv w:val="1"/>
      <w:marLeft w:val="0"/>
      <w:marRight w:val="0"/>
      <w:marTop w:val="0"/>
      <w:marBottom w:val="0"/>
      <w:divBdr>
        <w:top w:val="none" w:sz="0" w:space="0" w:color="auto"/>
        <w:left w:val="none" w:sz="0" w:space="0" w:color="auto"/>
        <w:bottom w:val="none" w:sz="0" w:space="0" w:color="auto"/>
        <w:right w:val="none" w:sz="0" w:space="0" w:color="auto"/>
      </w:divBdr>
    </w:div>
    <w:div w:id="516507086">
      <w:bodyDiv w:val="1"/>
      <w:marLeft w:val="0"/>
      <w:marRight w:val="0"/>
      <w:marTop w:val="0"/>
      <w:marBottom w:val="0"/>
      <w:divBdr>
        <w:top w:val="none" w:sz="0" w:space="0" w:color="auto"/>
        <w:left w:val="none" w:sz="0" w:space="0" w:color="auto"/>
        <w:bottom w:val="none" w:sz="0" w:space="0" w:color="auto"/>
        <w:right w:val="none" w:sz="0" w:space="0" w:color="auto"/>
      </w:divBdr>
    </w:div>
    <w:div w:id="516969135">
      <w:bodyDiv w:val="1"/>
      <w:marLeft w:val="0"/>
      <w:marRight w:val="0"/>
      <w:marTop w:val="0"/>
      <w:marBottom w:val="0"/>
      <w:divBdr>
        <w:top w:val="none" w:sz="0" w:space="0" w:color="auto"/>
        <w:left w:val="none" w:sz="0" w:space="0" w:color="auto"/>
        <w:bottom w:val="none" w:sz="0" w:space="0" w:color="auto"/>
        <w:right w:val="none" w:sz="0" w:space="0" w:color="auto"/>
      </w:divBdr>
    </w:div>
    <w:div w:id="517815872">
      <w:bodyDiv w:val="1"/>
      <w:marLeft w:val="0"/>
      <w:marRight w:val="0"/>
      <w:marTop w:val="0"/>
      <w:marBottom w:val="0"/>
      <w:divBdr>
        <w:top w:val="none" w:sz="0" w:space="0" w:color="auto"/>
        <w:left w:val="none" w:sz="0" w:space="0" w:color="auto"/>
        <w:bottom w:val="none" w:sz="0" w:space="0" w:color="auto"/>
        <w:right w:val="none" w:sz="0" w:space="0" w:color="auto"/>
      </w:divBdr>
    </w:div>
    <w:div w:id="541017174">
      <w:bodyDiv w:val="1"/>
      <w:marLeft w:val="0"/>
      <w:marRight w:val="0"/>
      <w:marTop w:val="0"/>
      <w:marBottom w:val="0"/>
      <w:divBdr>
        <w:top w:val="none" w:sz="0" w:space="0" w:color="auto"/>
        <w:left w:val="none" w:sz="0" w:space="0" w:color="auto"/>
        <w:bottom w:val="none" w:sz="0" w:space="0" w:color="auto"/>
        <w:right w:val="none" w:sz="0" w:space="0" w:color="auto"/>
      </w:divBdr>
    </w:div>
    <w:div w:id="545719884">
      <w:bodyDiv w:val="1"/>
      <w:marLeft w:val="0"/>
      <w:marRight w:val="0"/>
      <w:marTop w:val="0"/>
      <w:marBottom w:val="0"/>
      <w:divBdr>
        <w:top w:val="none" w:sz="0" w:space="0" w:color="auto"/>
        <w:left w:val="none" w:sz="0" w:space="0" w:color="auto"/>
        <w:bottom w:val="none" w:sz="0" w:space="0" w:color="auto"/>
        <w:right w:val="none" w:sz="0" w:space="0" w:color="auto"/>
      </w:divBdr>
    </w:div>
    <w:div w:id="546994950">
      <w:bodyDiv w:val="1"/>
      <w:marLeft w:val="0"/>
      <w:marRight w:val="0"/>
      <w:marTop w:val="0"/>
      <w:marBottom w:val="0"/>
      <w:divBdr>
        <w:top w:val="none" w:sz="0" w:space="0" w:color="auto"/>
        <w:left w:val="none" w:sz="0" w:space="0" w:color="auto"/>
        <w:bottom w:val="none" w:sz="0" w:space="0" w:color="auto"/>
        <w:right w:val="none" w:sz="0" w:space="0" w:color="auto"/>
      </w:divBdr>
    </w:div>
    <w:div w:id="553584480">
      <w:bodyDiv w:val="1"/>
      <w:marLeft w:val="0"/>
      <w:marRight w:val="0"/>
      <w:marTop w:val="0"/>
      <w:marBottom w:val="0"/>
      <w:divBdr>
        <w:top w:val="none" w:sz="0" w:space="0" w:color="auto"/>
        <w:left w:val="none" w:sz="0" w:space="0" w:color="auto"/>
        <w:bottom w:val="none" w:sz="0" w:space="0" w:color="auto"/>
        <w:right w:val="none" w:sz="0" w:space="0" w:color="auto"/>
      </w:divBdr>
    </w:div>
    <w:div w:id="563952428">
      <w:bodyDiv w:val="1"/>
      <w:marLeft w:val="0"/>
      <w:marRight w:val="0"/>
      <w:marTop w:val="0"/>
      <w:marBottom w:val="0"/>
      <w:divBdr>
        <w:top w:val="none" w:sz="0" w:space="0" w:color="auto"/>
        <w:left w:val="none" w:sz="0" w:space="0" w:color="auto"/>
        <w:bottom w:val="none" w:sz="0" w:space="0" w:color="auto"/>
        <w:right w:val="none" w:sz="0" w:space="0" w:color="auto"/>
      </w:divBdr>
    </w:div>
    <w:div w:id="566451843">
      <w:bodyDiv w:val="1"/>
      <w:marLeft w:val="0"/>
      <w:marRight w:val="0"/>
      <w:marTop w:val="0"/>
      <w:marBottom w:val="0"/>
      <w:divBdr>
        <w:top w:val="none" w:sz="0" w:space="0" w:color="auto"/>
        <w:left w:val="none" w:sz="0" w:space="0" w:color="auto"/>
        <w:bottom w:val="none" w:sz="0" w:space="0" w:color="auto"/>
        <w:right w:val="none" w:sz="0" w:space="0" w:color="auto"/>
      </w:divBdr>
    </w:div>
    <w:div w:id="577248592">
      <w:bodyDiv w:val="1"/>
      <w:marLeft w:val="0"/>
      <w:marRight w:val="0"/>
      <w:marTop w:val="0"/>
      <w:marBottom w:val="0"/>
      <w:divBdr>
        <w:top w:val="none" w:sz="0" w:space="0" w:color="auto"/>
        <w:left w:val="none" w:sz="0" w:space="0" w:color="auto"/>
        <w:bottom w:val="none" w:sz="0" w:space="0" w:color="auto"/>
        <w:right w:val="none" w:sz="0" w:space="0" w:color="auto"/>
      </w:divBdr>
    </w:div>
    <w:div w:id="577518545">
      <w:bodyDiv w:val="1"/>
      <w:marLeft w:val="0"/>
      <w:marRight w:val="0"/>
      <w:marTop w:val="0"/>
      <w:marBottom w:val="0"/>
      <w:divBdr>
        <w:top w:val="none" w:sz="0" w:space="0" w:color="auto"/>
        <w:left w:val="none" w:sz="0" w:space="0" w:color="auto"/>
        <w:bottom w:val="none" w:sz="0" w:space="0" w:color="auto"/>
        <w:right w:val="none" w:sz="0" w:space="0" w:color="auto"/>
      </w:divBdr>
    </w:div>
    <w:div w:id="583420827">
      <w:bodyDiv w:val="1"/>
      <w:marLeft w:val="0"/>
      <w:marRight w:val="0"/>
      <w:marTop w:val="0"/>
      <w:marBottom w:val="0"/>
      <w:divBdr>
        <w:top w:val="none" w:sz="0" w:space="0" w:color="auto"/>
        <w:left w:val="none" w:sz="0" w:space="0" w:color="auto"/>
        <w:bottom w:val="none" w:sz="0" w:space="0" w:color="auto"/>
        <w:right w:val="none" w:sz="0" w:space="0" w:color="auto"/>
      </w:divBdr>
    </w:div>
    <w:div w:id="587353903">
      <w:bodyDiv w:val="1"/>
      <w:marLeft w:val="0"/>
      <w:marRight w:val="0"/>
      <w:marTop w:val="0"/>
      <w:marBottom w:val="0"/>
      <w:divBdr>
        <w:top w:val="none" w:sz="0" w:space="0" w:color="auto"/>
        <w:left w:val="none" w:sz="0" w:space="0" w:color="auto"/>
        <w:bottom w:val="none" w:sz="0" w:space="0" w:color="auto"/>
        <w:right w:val="none" w:sz="0" w:space="0" w:color="auto"/>
      </w:divBdr>
    </w:div>
    <w:div w:id="590744336">
      <w:bodyDiv w:val="1"/>
      <w:marLeft w:val="0"/>
      <w:marRight w:val="0"/>
      <w:marTop w:val="0"/>
      <w:marBottom w:val="0"/>
      <w:divBdr>
        <w:top w:val="none" w:sz="0" w:space="0" w:color="auto"/>
        <w:left w:val="none" w:sz="0" w:space="0" w:color="auto"/>
        <w:bottom w:val="none" w:sz="0" w:space="0" w:color="auto"/>
        <w:right w:val="none" w:sz="0" w:space="0" w:color="auto"/>
      </w:divBdr>
    </w:div>
    <w:div w:id="591934700">
      <w:bodyDiv w:val="1"/>
      <w:marLeft w:val="0"/>
      <w:marRight w:val="0"/>
      <w:marTop w:val="0"/>
      <w:marBottom w:val="0"/>
      <w:divBdr>
        <w:top w:val="none" w:sz="0" w:space="0" w:color="auto"/>
        <w:left w:val="none" w:sz="0" w:space="0" w:color="auto"/>
        <w:bottom w:val="none" w:sz="0" w:space="0" w:color="auto"/>
        <w:right w:val="none" w:sz="0" w:space="0" w:color="auto"/>
      </w:divBdr>
    </w:div>
    <w:div w:id="619654665">
      <w:bodyDiv w:val="1"/>
      <w:marLeft w:val="0"/>
      <w:marRight w:val="0"/>
      <w:marTop w:val="0"/>
      <w:marBottom w:val="0"/>
      <w:divBdr>
        <w:top w:val="none" w:sz="0" w:space="0" w:color="auto"/>
        <w:left w:val="none" w:sz="0" w:space="0" w:color="auto"/>
        <w:bottom w:val="none" w:sz="0" w:space="0" w:color="auto"/>
        <w:right w:val="none" w:sz="0" w:space="0" w:color="auto"/>
      </w:divBdr>
    </w:div>
    <w:div w:id="623196746">
      <w:bodyDiv w:val="1"/>
      <w:marLeft w:val="0"/>
      <w:marRight w:val="0"/>
      <w:marTop w:val="0"/>
      <w:marBottom w:val="0"/>
      <w:divBdr>
        <w:top w:val="none" w:sz="0" w:space="0" w:color="auto"/>
        <w:left w:val="none" w:sz="0" w:space="0" w:color="auto"/>
        <w:bottom w:val="none" w:sz="0" w:space="0" w:color="auto"/>
        <w:right w:val="none" w:sz="0" w:space="0" w:color="auto"/>
      </w:divBdr>
    </w:div>
    <w:div w:id="630357162">
      <w:bodyDiv w:val="1"/>
      <w:marLeft w:val="0"/>
      <w:marRight w:val="0"/>
      <w:marTop w:val="0"/>
      <w:marBottom w:val="0"/>
      <w:divBdr>
        <w:top w:val="none" w:sz="0" w:space="0" w:color="auto"/>
        <w:left w:val="none" w:sz="0" w:space="0" w:color="auto"/>
        <w:bottom w:val="none" w:sz="0" w:space="0" w:color="auto"/>
        <w:right w:val="none" w:sz="0" w:space="0" w:color="auto"/>
      </w:divBdr>
    </w:div>
    <w:div w:id="631450263">
      <w:bodyDiv w:val="1"/>
      <w:marLeft w:val="0"/>
      <w:marRight w:val="0"/>
      <w:marTop w:val="0"/>
      <w:marBottom w:val="0"/>
      <w:divBdr>
        <w:top w:val="none" w:sz="0" w:space="0" w:color="auto"/>
        <w:left w:val="none" w:sz="0" w:space="0" w:color="auto"/>
        <w:bottom w:val="none" w:sz="0" w:space="0" w:color="auto"/>
        <w:right w:val="none" w:sz="0" w:space="0" w:color="auto"/>
      </w:divBdr>
    </w:div>
    <w:div w:id="637958830">
      <w:bodyDiv w:val="1"/>
      <w:marLeft w:val="0"/>
      <w:marRight w:val="0"/>
      <w:marTop w:val="0"/>
      <w:marBottom w:val="0"/>
      <w:divBdr>
        <w:top w:val="none" w:sz="0" w:space="0" w:color="auto"/>
        <w:left w:val="none" w:sz="0" w:space="0" w:color="auto"/>
        <w:bottom w:val="none" w:sz="0" w:space="0" w:color="auto"/>
        <w:right w:val="none" w:sz="0" w:space="0" w:color="auto"/>
      </w:divBdr>
    </w:div>
    <w:div w:id="660080252">
      <w:bodyDiv w:val="1"/>
      <w:marLeft w:val="0"/>
      <w:marRight w:val="0"/>
      <w:marTop w:val="0"/>
      <w:marBottom w:val="0"/>
      <w:divBdr>
        <w:top w:val="none" w:sz="0" w:space="0" w:color="auto"/>
        <w:left w:val="none" w:sz="0" w:space="0" w:color="auto"/>
        <w:bottom w:val="none" w:sz="0" w:space="0" w:color="auto"/>
        <w:right w:val="none" w:sz="0" w:space="0" w:color="auto"/>
      </w:divBdr>
    </w:div>
    <w:div w:id="664821068">
      <w:bodyDiv w:val="1"/>
      <w:marLeft w:val="0"/>
      <w:marRight w:val="0"/>
      <w:marTop w:val="0"/>
      <w:marBottom w:val="0"/>
      <w:divBdr>
        <w:top w:val="none" w:sz="0" w:space="0" w:color="auto"/>
        <w:left w:val="none" w:sz="0" w:space="0" w:color="auto"/>
        <w:bottom w:val="none" w:sz="0" w:space="0" w:color="auto"/>
        <w:right w:val="none" w:sz="0" w:space="0" w:color="auto"/>
      </w:divBdr>
    </w:div>
    <w:div w:id="680275148">
      <w:bodyDiv w:val="1"/>
      <w:marLeft w:val="0"/>
      <w:marRight w:val="0"/>
      <w:marTop w:val="0"/>
      <w:marBottom w:val="0"/>
      <w:divBdr>
        <w:top w:val="none" w:sz="0" w:space="0" w:color="auto"/>
        <w:left w:val="none" w:sz="0" w:space="0" w:color="auto"/>
        <w:bottom w:val="none" w:sz="0" w:space="0" w:color="auto"/>
        <w:right w:val="none" w:sz="0" w:space="0" w:color="auto"/>
      </w:divBdr>
    </w:div>
    <w:div w:id="681206863">
      <w:bodyDiv w:val="1"/>
      <w:marLeft w:val="0"/>
      <w:marRight w:val="0"/>
      <w:marTop w:val="0"/>
      <w:marBottom w:val="0"/>
      <w:divBdr>
        <w:top w:val="none" w:sz="0" w:space="0" w:color="auto"/>
        <w:left w:val="none" w:sz="0" w:space="0" w:color="auto"/>
        <w:bottom w:val="none" w:sz="0" w:space="0" w:color="auto"/>
        <w:right w:val="none" w:sz="0" w:space="0" w:color="auto"/>
      </w:divBdr>
    </w:div>
    <w:div w:id="681250358">
      <w:bodyDiv w:val="1"/>
      <w:marLeft w:val="0"/>
      <w:marRight w:val="0"/>
      <w:marTop w:val="0"/>
      <w:marBottom w:val="0"/>
      <w:divBdr>
        <w:top w:val="none" w:sz="0" w:space="0" w:color="auto"/>
        <w:left w:val="none" w:sz="0" w:space="0" w:color="auto"/>
        <w:bottom w:val="none" w:sz="0" w:space="0" w:color="auto"/>
        <w:right w:val="none" w:sz="0" w:space="0" w:color="auto"/>
      </w:divBdr>
    </w:div>
    <w:div w:id="710156997">
      <w:bodyDiv w:val="1"/>
      <w:marLeft w:val="0"/>
      <w:marRight w:val="0"/>
      <w:marTop w:val="0"/>
      <w:marBottom w:val="0"/>
      <w:divBdr>
        <w:top w:val="none" w:sz="0" w:space="0" w:color="auto"/>
        <w:left w:val="none" w:sz="0" w:space="0" w:color="auto"/>
        <w:bottom w:val="none" w:sz="0" w:space="0" w:color="auto"/>
        <w:right w:val="none" w:sz="0" w:space="0" w:color="auto"/>
      </w:divBdr>
    </w:div>
    <w:div w:id="710417605">
      <w:bodyDiv w:val="1"/>
      <w:marLeft w:val="0"/>
      <w:marRight w:val="0"/>
      <w:marTop w:val="0"/>
      <w:marBottom w:val="0"/>
      <w:divBdr>
        <w:top w:val="none" w:sz="0" w:space="0" w:color="auto"/>
        <w:left w:val="none" w:sz="0" w:space="0" w:color="auto"/>
        <w:bottom w:val="none" w:sz="0" w:space="0" w:color="auto"/>
        <w:right w:val="none" w:sz="0" w:space="0" w:color="auto"/>
      </w:divBdr>
    </w:div>
    <w:div w:id="711423016">
      <w:bodyDiv w:val="1"/>
      <w:marLeft w:val="0"/>
      <w:marRight w:val="0"/>
      <w:marTop w:val="0"/>
      <w:marBottom w:val="0"/>
      <w:divBdr>
        <w:top w:val="none" w:sz="0" w:space="0" w:color="auto"/>
        <w:left w:val="none" w:sz="0" w:space="0" w:color="auto"/>
        <w:bottom w:val="none" w:sz="0" w:space="0" w:color="auto"/>
        <w:right w:val="none" w:sz="0" w:space="0" w:color="auto"/>
      </w:divBdr>
    </w:div>
    <w:div w:id="718363463">
      <w:bodyDiv w:val="1"/>
      <w:marLeft w:val="0"/>
      <w:marRight w:val="0"/>
      <w:marTop w:val="0"/>
      <w:marBottom w:val="0"/>
      <w:divBdr>
        <w:top w:val="none" w:sz="0" w:space="0" w:color="auto"/>
        <w:left w:val="none" w:sz="0" w:space="0" w:color="auto"/>
        <w:bottom w:val="none" w:sz="0" w:space="0" w:color="auto"/>
        <w:right w:val="none" w:sz="0" w:space="0" w:color="auto"/>
      </w:divBdr>
    </w:div>
    <w:div w:id="733040683">
      <w:bodyDiv w:val="1"/>
      <w:marLeft w:val="0"/>
      <w:marRight w:val="0"/>
      <w:marTop w:val="0"/>
      <w:marBottom w:val="0"/>
      <w:divBdr>
        <w:top w:val="none" w:sz="0" w:space="0" w:color="auto"/>
        <w:left w:val="none" w:sz="0" w:space="0" w:color="auto"/>
        <w:bottom w:val="none" w:sz="0" w:space="0" w:color="auto"/>
        <w:right w:val="none" w:sz="0" w:space="0" w:color="auto"/>
      </w:divBdr>
    </w:div>
    <w:div w:id="755253317">
      <w:bodyDiv w:val="1"/>
      <w:marLeft w:val="0"/>
      <w:marRight w:val="0"/>
      <w:marTop w:val="0"/>
      <w:marBottom w:val="0"/>
      <w:divBdr>
        <w:top w:val="none" w:sz="0" w:space="0" w:color="auto"/>
        <w:left w:val="none" w:sz="0" w:space="0" w:color="auto"/>
        <w:bottom w:val="none" w:sz="0" w:space="0" w:color="auto"/>
        <w:right w:val="none" w:sz="0" w:space="0" w:color="auto"/>
      </w:divBdr>
    </w:div>
    <w:div w:id="759788822">
      <w:bodyDiv w:val="1"/>
      <w:marLeft w:val="0"/>
      <w:marRight w:val="0"/>
      <w:marTop w:val="0"/>
      <w:marBottom w:val="0"/>
      <w:divBdr>
        <w:top w:val="none" w:sz="0" w:space="0" w:color="auto"/>
        <w:left w:val="none" w:sz="0" w:space="0" w:color="auto"/>
        <w:bottom w:val="none" w:sz="0" w:space="0" w:color="auto"/>
        <w:right w:val="none" w:sz="0" w:space="0" w:color="auto"/>
      </w:divBdr>
    </w:div>
    <w:div w:id="760219116">
      <w:bodyDiv w:val="1"/>
      <w:marLeft w:val="0"/>
      <w:marRight w:val="0"/>
      <w:marTop w:val="0"/>
      <w:marBottom w:val="0"/>
      <w:divBdr>
        <w:top w:val="none" w:sz="0" w:space="0" w:color="auto"/>
        <w:left w:val="none" w:sz="0" w:space="0" w:color="auto"/>
        <w:bottom w:val="none" w:sz="0" w:space="0" w:color="auto"/>
        <w:right w:val="none" w:sz="0" w:space="0" w:color="auto"/>
      </w:divBdr>
    </w:div>
    <w:div w:id="760682445">
      <w:bodyDiv w:val="1"/>
      <w:marLeft w:val="0"/>
      <w:marRight w:val="0"/>
      <w:marTop w:val="0"/>
      <w:marBottom w:val="0"/>
      <w:divBdr>
        <w:top w:val="none" w:sz="0" w:space="0" w:color="auto"/>
        <w:left w:val="none" w:sz="0" w:space="0" w:color="auto"/>
        <w:bottom w:val="none" w:sz="0" w:space="0" w:color="auto"/>
        <w:right w:val="none" w:sz="0" w:space="0" w:color="auto"/>
      </w:divBdr>
    </w:div>
    <w:div w:id="761806143">
      <w:bodyDiv w:val="1"/>
      <w:marLeft w:val="0"/>
      <w:marRight w:val="0"/>
      <w:marTop w:val="0"/>
      <w:marBottom w:val="0"/>
      <w:divBdr>
        <w:top w:val="none" w:sz="0" w:space="0" w:color="auto"/>
        <w:left w:val="none" w:sz="0" w:space="0" w:color="auto"/>
        <w:bottom w:val="none" w:sz="0" w:space="0" w:color="auto"/>
        <w:right w:val="none" w:sz="0" w:space="0" w:color="auto"/>
      </w:divBdr>
    </w:div>
    <w:div w:id="771121433">
      <w:bodyDiv w:val="1"/>
      <w:marLeft w:val="0"/>
      <w:marRight w:val="0"/>
      <w:marTop w:val="0"/>
      <w:marBottom w:val="0"/>
      <w:divBdr>
        <w:top w:val="none" w:sz="0" w:space="0" w:color="auto"/>
        <w:left w:val="none" w:sz="0" w:space="0" w:color="auto"/>
        <w:bottom w:val="none" w:sz="0" w:space="0" w:color="auto"/>
        <w:right w:val="none" w:sz="0" w:space="0" w:color="auto"/>
      </w:divBdr>
    </w:div>
    <w:div w:id="771439719">
      <w:bodyDiv w:val="1"/>
      <w:marLeft w:val="0"/>
      <w:marRight w:val="0"/>
      <w:marTop w:val="0"/>
      <w:marBottom w:val="0"/>
      <w:divBdr>
        <w:top w:val="none" w:sz="0" w:space="0" w:color="auto"/>
        <w:left w:val="none" w:sz="0" w:space="0" w:color="auto"/>
        <w:bottom w:val="none" w:sz="0" w:space="0" w:color="auto"/>
        <w:right w:val="none" w:sz="0" w:space="0" w:color="auto"/>
      </w:divBdr>
    </w:div>
    <w:div w:id="779879720">
      <w:bodyDiv w:val="1"/>
      <w:marLeft w:val="0"/>
      <w:marRight w:val="0"/>
      <w:marTop w:val="0"/>
      <w:marBottom w:val="0"/>
      <w:divBdr>
        <w:top w:val="none" w:sz="0" w:space="0" w:color="auto"/>
        <w:left w:val="none" w:sz="0" w:space="0" w:color="auto"/>
        <w:bottom w:val="none" w:sz="0" w:space="0" w:color="auto"/>
        <w:right w:val="none" w:sz="0" w:space="0" w:color="auto"/>
      </w:divBdr>
    </w:div>
    <w:div w:id="794955854">
      <w:bodyDiv w:val="1"/>
      <w:marLeft w:val="0"/>
      <w:marRight w:val="0"/>
      <w:marTop w:val="0"/>
      <w:marBottom w:val="0"/>
      <w:divBdr>
        <w:top w:val="none" w:sz="0" w:space="0" w:color="auto"/>
        <w:left w:val="none" w:sz="0" w:space="0" w:color="auto"/>
        <w:bottom w:val="none" w:sz="0" w:space="0" w:color="auto"/>
        <w:right w:val="none" w:sz="0" w:space="0" w:color="auto"/>
      </w:divBdr>
    </w:div>
    <w:div w:id="803624048">
      <w:bodyDiv w:val="1"/>
      <w:marLeft w:val="0"/>
      <w:marRight w:val="0"/>
      <w:marTop w:val="0"/>
      <w:marBottom w:val="0"/>
      <w:divBdr>
        <w:top w:val="none" w:sz="0" w:space="0" w:color="auto"/>
        <w:left w:val="none" w:sz="0" w:space="0" w:color="auto"/>
        <w:bottom w:val="none" w:sz="0" w:space="0" w:color="auto"/>
        <w:right w:val="none" w:sz="0" w:space="0" w:color="auto"/>
      </w:divBdr>
    </w:div>
    <w:div w:id="813331781">
      <w:bodyDiv w:val="1"/>
      <w:marLeft w:val="0"/>
      <w:marRight w:val="0"/>
      <w:marTop w:val="0"/>
      <w:marBottom w:val="0"/>
      <w:divBdr>
        <w:top w:val="none" w:sz="0" w:space="0" w:color="auto"/>
        <w:left w:val="none" w:sz="0" w:space="0" w:color="auto"/>
        <w:bottom w:val="none" w:sz="0" w:space="0" w:color="auto"/>
        <w:right w:val="none" w:sz="0" w:space="0" w:color="auto"/>
      </w:divBdr>
    </w:div>
    <w:div w:id="830097294">
      <w:bodyDiv w:val="1"/>
      <w:marLeft w:val="0"/>
      <w:marRight w:val="0"/>
      <w:marTop w:val="0"/>
      <w:marBottom w:val="0"/>
      <w:divBdr>
        <w:top w:val="none" w:sz="0" w:space="0" w:color="auto"/>
        <w:left w:val="none" w:sz="0" w:space="0" w:color="auto"/>
        <w:bottom w:val="none" w:sz="0" w:space="0" w:color="auto"/>
        <w:right w:val="none" w:sz="0" w:space="0" w:color="auto"/>
      </w:divBdr>
    </w:div>
    <w:div w:id="849950953">
      <w:bodyDiv w:val="1"/>
      <w:marLeft w:val="0"/>
      <w:marRight w:val="0"/>
      <w:marTop w:val="0"/>
      <w:marBottom w:val="0"/>
      <w:divBdr>
        <w:top w:val="none" w:sz="0" w:space="0" w:color="auto"/>
        <w:left w:val="none" w:sz="0" w:space="0" w:color="auto"/>
        <w:bottom w:val="none" w:sz="0" w:space="0" w:color="auto"/>
        <w:right w:val="none" w:sz="0" w:space="0" w:color="auto"/>
      </w:divBdr>
    </w:div>
    <w:div w:id="860514135">
      <w:bodyDiv w:val="1"/>
      <w:marLeft w:val="0"/>
      <w:marRight w:val="0"/>
      <w:marTop w:val="0"/>
      <w:marBottom w:val="0"/>
      <w:divBdr>
        <w:top w:val="none" w:sz="0" w:space="0" w:color="auto"/>
        <w:left w:val="none" w:sz="0" w:space="0" w:color="auto"/>
        <w:bottom w:val="none" w:sz="0" w:space="0" w:color="auto"/>
        <w:right w:val="none" w:sz="0" w:space="0" w:color="auto"/>
      </w:divBdr>
    </w:div>
    <w:div w:id="864173908">
      <w:bodyDiv w:val="1"/>
      <w:marLeft w:val="0"/>
      <w:marRight w:val="0"/>
      <w:marTop w:val="0"/>
      <w:marBottom w:val="0"/>
      <w:divBdr>
        <w:top w:val="none" w:sz="0" w:space="0" w:color="auto"/>
        <w:left w:val="none" w:sz="0" w:space="0" w:color="auto"/>
        <w:bottom w:val="none" w:sz="0" w:space="0" w:color="auto"/>
        <w:right w:val="none" w:sz="0" w:space="0" w:color="auto"/>
      </w:divBdr>
    </w:div>
    <w:div w:id="887378659">
      <w:bodyDiv w:val="1"/>
      <w:marLeft w:val="0"/>
      <w:marRight w:val="0"/>
      <w:marTop w:val="0"/>
      <w:marBottom w:val="0"/>
      <w:divBdr>
        <w:top w:val="none" w:sz="0" w:space="0" w:color="auto"/>
        <w:left w:val="none" w:sz="0" w:space="0" w:color="auto"/>
        <w:bottom w:val="none" w:sz="0" w:space="0" w:color="auto"/>
        <w:right w:val="none" w:sz="0" w:space="0" w:color="auto"/>
      </w:divBdr>
    </w:div>
    <w:div w:id="909508631">
      <w:bodyDiv w:val="1"/>
      <w:marLeft w:val="0"/>
      <w:marRight w:val="0"/>
      <w:marTop w:val="0"/>
      <w:marBottom w:val="0"/>
      <w:divBdr>
        <w:top w:val="none" w:sz="0" w:space="0" w:color="auto"/>
        <w:left w:val="none" w:sz="0" w:space="0" w:color="auto"/>
        <w:bottom w:val="none" w:sz="0" w:space="0" w:color="auto"/>
        <w:right w:val="none" w:sz="0" w:space="0" w:color="auto"/>
      </w:divBdr>
    </w:div>
    <w:div w:id="915822169">
      <w:bodyDiv w:val="1"/>
      <w:marLeft w:val="0"/>
      <w:marRight w:val="0"/>
      <w:marTop w:val="0"/>
      <w:marBottom w:val="0"/>
      <w:divBdr>
        <w:top w:val="none" w:sz="0" w:space="0" w:color="auto"/>
        <w:left w:val="none" w:sz="0" w:space="0" w:color="auto"/>
        <w:bottom w:val="none" w:sz="0" w:space="0" w:color="auto"/>
        <w:right w:val="none" w:sz="0" w:space="0" w:color="auto"/>
      </w:divBdr>
    </w:div>
    <w:div w:id="918251204">
      <w:bodyDiv w:val="1"/>
      <w:marLeft w:val="0"/>
      <w:marRight w:val="0"/>
      <w:marTop w:val="0"/>
      <w:marBottom w:val="0"/>
      <w:divBdr>
        <w:top w:val="none" w:sz="0" w:space="0" w:color="auto"/>
        <w:left w:val="none" w:sz="0" w:space="0" w:color="auto"/>
        <w:bottom w:val="none" w:sz="0" w:space="0" w:color="auto"/>
        <w:right w:val="none" w:sz="0" w:space="0" w:color="auto"/>
      </w:divBdr>
    </w:div>
    <w:div w:id="935752338">
      <w:bodyDiv w:val="1"/>
      <w:marLeft w:val="0"/>
      <w:marRight w:val="0"/>
      <w:marTop w:val="0"/>
      <w:marBottom w:val="0"/>
      <w:divBdr>
        <w:top w:val="none" w:sz="0" w:space="0" w:color="auto"/>
        <w:left w:val="none" w:sz="0" w:space="0" w:color="auto"/>
        <w:bottom w:val="none" w:sz="0" w:space="0" w:color="auto"/>
        <w:right w:val="none" w:sz="0" w:space="0" w:color="auto"/>
      </w:divBdr>
    </w:div>
    <w:div w:id="944046118">
      <w:bodyDiv w:val="1"/>
      <w:marLeft w:val="0"/>
      <w:marRight w:val="0"/>
      <w:marTop w:val="0"/>
      <w:marBottom w:val="0"/>
      <w:divBdr>
        <w:top w:val="none" w:sz="0" w:space="0" w:color="auto"/>
        <w:left w:val="none" w:sz="0" w:space="0" w:color="auto"/>
        <w:bottom w:val="none" w:sz="0" w:space="0" w:color="auto"/>
        <w:right w:val="none" w:sz="0" w:space="0" w:color="auto"/>
      </w:divBdr>
    </w:div>
    <w:div w:id="954214611">
      <w:bodyDiv w:val="1"/>
      <w:marLeft w:val="0"/>
      <w:marRight w:val="0"/>
      <w:marTop w:val="0"/>
      <w:marBottom w:val="0"/>
      <w:divBdr>
        <w:top w:val="none" w:sz="0" w:space="0" w:color="auto"/>
        <w:left w:val="none" w:sz="0" w:space="0" w:color="auto"/>
        <w:bottom w:val="none" w:sz="0" w:space="0" w:color="auto"/>
        <w:right w:val="none" w:sz="0" w:space="0" w:color="auto"/>
      </w:divBdr>
    </w:div>
    <w:div w:id="959921149">
      <w:bodyDiv w:val="1"/>
      <w:marLeft w:val="0"/>
      <w:marRight w:val="0"/>
      <w:marTop w:val="0"/>
      <w:marBottom w:val="0"/>
      <w:divBdr>
        <w:top w:val="none" w:sz="0" w:space="0" w:color="auto"/>
        <w:left w:val="none" w:sz="0" w:space="0" w:color="auto"/>
        <w:bottom w:val="none" w:sz="0" w:space="0" w:color="auto"/>
        <w:right w:val="none" w:sz="0" w:space="0" w:color="auto"/>
      </w:divBdr>
    </w:div>
    <w:div w:id="978731950">
      <w:bodyDiv w:val="1"/>
      <w:marLeft w:val="0"/>
      <w:marRight w:val="0"/>
      <w:marTop w:val="0"/>
      <w:marBottom w:val="0"/>
      <w:divBdr>
        <w:top w:val="none" w:sz="0" w:space="0" w:color="auto"/>
        <w:left w:val="none" w:sz="0" w:space="0" w:color="auto"/>
        <w:bottom w:val="none" w:sz="0" w:space="0" w:color="auto"/>
        <w:right w:val="none" w:sz="0" w:space="0" w:color="auto"/>
      </w:divBdr>
    </w:div>
    <w:div w:id="986974559">
      <w:bodyDiv w:val="1"/>
      <w:marLeft w:val="0"/>
      <w:marRight w:val="0"/>
      <w:marTop w:val="0"/>
      <w:marBottom w:val="0"/>
      <w:divBdr>
        <w:top w:val="none" w:sz="0" w:space="0" w:color="auto"/>
        <w:left w:val="none" w:sz="0" w:space="0" w:color="auto"/>
        <w:bottom w:val="none" w:sz="0" w:space="0" w:color="auto"/>
        <w:right w:val="none" w:sz="0" w:space="0" w:color="auto"/>
      </w:divBdr>
    </w:div>
    <w:div w:id="991450382">
      <w:bodyDiv w:val="1"/>
      <w:marLeft w:val="0"/>
      <w:marRight w:val="0"/>
      <w:marTop w:val="0"/>
      <w:marBottom w:val="0"/>
      <w:divBdr>
        <w:top w:val="none" w:sz="0" w:space="0" w:color="auto"/>
        <w:left w:val="none" w:sz="0" w:space="0" w:color="auto"/>
        <w:bottom w:val="none" w:sz="0" w:space="0" w:color="auto"/>
        <w:right w:val="none" w:sz="0" w:space="0" w:color="auto"/>
      </w:divBdr>
    </w:div>
    <w:div w:id="1002125978">
      <w:bodyDiv w:val="1"/>
      <w:marLeft w:val="0"/>
      <w:marRight w:val="0"/>
      <w:marTop w:val="0"/>
      <w:marBottom w:val="0"/>
      <w:divBdr>
        <w:top w:val="none" w:sz="0" w:space="0" w:color="auto"/>
        <w:left w:val="none" w:sz="0" w:space="0" w:color="auto"/>
        <w:bottom w:val="none" w:sz="0" w:space="0" w:color="auto"/>
        <w:right w:val="none" w:sz="0" w:space="0" w:color="auto"/>
      </w:divBdr>
    </w:div>
    <w:div w:id="1006905074">
      <w:bodyDiv w:val="1"/>
      <w:marLeft w:val="0"/>
      <w:marRight w:val="0"/>
      <w:marTop w:val="0"/>
      <w:marBottom w:val="0"/>
      <w:divBdr>
        <w:top w:val="none" w:sz="0" w:space="0" w:color="auto"/>
        <w:left w:val="none" w:sz="0" w:space="0" w:color="auto"/>
        <w:bottom w:val="none" w:sz="0" w:space="0" w:color="auto"/>
        <w:right w:val="none" w:sz="0" w:space="0" w:color="auto"/>
      </w:divBdr>
    </w:div>
    <w:div w:id="1012687700">
      <w:bodyDiv w:val="1"/>
      <w:marLeft w:val="0"/>
      <w:marRight w:val="0"/>
      <w:marTop w:val="0"/>
      <w:marBottom w:val="0"/>
      <w:divBdr>
        <w:top w:val="none" w:sz="0" w:space="0" w:color="auto"/>
        <w:left w:val="none" w:sz="0" w:space="0" w:color="auto"/>
        <w:bottom w:val="none" w:sz="0" w:space="0" w:color="auto"/>
        <w:right w:val="none" w:sz="0" w:space="0" w:color="auto"/>
      </w:divBdr>
    </w:div>
    <w:div w:id="1028874284">
      <w:bodyDiv w:val="1"/>
      <w:marLeft w:val="0"/>
      <w:marRight w:val="0"/>
      <w:marTop w:val="0"/>
      <w:marBottom w:val="0"/>
      <w:divBdr>
        <w:top w:val="none" w:sz="0" w:space="0" w:color="auto"/>
        <w:left w:val="none" w:sz="0" w:space="0" w:color="auto"/>
        <w:bottom w:val="none" w:sz="0" w:space="0" w:color="auto"/>
        <w:right w:val="none" w:sz="0" w:space="0" w:color="auto"/>
      </w:divBdr>
    </w:div>
    <w:div w:id="1045907392">
      <w:bodyDiv w:val="1"/>
      <w:marLeft w:val="0"/>
      <w:marRight w:val="0"/>
      <w:marTop w:val="0"/>
      <w:marBottom w:val="0"/>
      <w:divBdr>
        <w:top w:val="none" w:sz="0" w:space="0" w:color="auto"/>
        <w:left w:val="none" w:sz="0" w:space="0" w:color="auto"/>
        <w:bottom w:val="none" w:sz="0" w:space="0" w:color="auto"/>
        <w:right w:val="none" w:sz="0" w:space="0" w:color="auto"/>
      </w:divBdr>
    </w:div>
    <w:div w:id="1050611273">
      <w:bodyDiv w:val="1"/>
      <w:marLeft w:val="0"/>
      <w:marRight w:val="0"/>
      <w:marTop w:val="0"/>
      <w:marBottom w:val="0"/>
      <w:divBdr>
        <w:top w:val="none" w:sz="0" w:space="0" w:color="auto"/>
        <w:left w:val="none" w:sz="0" w:space="0" w:color="auto"/>
        <w:bottom w:val="none" w:sz="0" w:space="0" w:color="auto"/>
        <w:right w:val="none" w:sz="0" w:space="0" w:color="auto"/>
      </w:divBdr>
    </w:div>
    <w:div w:id="1057318039">
      <w:bodyDiv w:val="1"/>
      <w:marLeft w:val="0"/>
      <w:marRight w:val="0"/>
      <w:marTop w:val="0"/>
      <w:marBottom w:val="0"/>
      <w:divBdr>
        <w:top w:val="none" w:sz="0" w:space="0" w:color="auto"/>
        <w:left w:val="none" w:sz="0" w:space="0" w:color="auto"/>
        <w:bottom w:val="none" w:sz="0" w:space="0" w:color="auto"/>
        <w:right w:val="none" w:sz="0" w:space="0" w:color="auto"/>
      </w:divBdr>
    </w:div>
    <w:div w:id="1060398885">
      <w:bodyDiv w:val="1"/>
      <w:marLeft w:val="0"/>
      <w:marRight w:val="0"/>
      <w:marTop w:val="0"/>
      <w:marBottom w:val="0"/>
      <w:divBdr>
        <w:top w:val="none" w:sz="0" w:space="0" w:color="auto"/>
        <w:left w:val="none" w:sz="0" w:space="0" w:color="auto"/>
        <w:bottom w:val="none" w:sz="0" w:space="0" w:color="auto"/>
        <w:right w:val="none" w:sz="0" w:space="0" w:color="auto"/>
      </w:divBdr>
    </w:div>
    <w:div w:id="1063600889">
      <w:bodyDiv w:val="1"/>
      <w:marLeft w:val="0"/>
      <w:marRight w:val="0"/>
      <w:marTop w:val="0"/>
      <w:marBottom w:val="0"/>
      <w:divBdr>
        <w:top w:val="none" w:sz="0" w:space="0" w:color="auto"/>
        <w:left w:val="none" w:sz="0" w:space="0" w:color="auto"/>
        <w:bottom w:val="none" w:sz="0" w:space="0" w:color="auto"/>
        <w:right w:val="none" w:sz="0" w:space="0" w:color="auto"/>
      </w:divBdr>
    </w:div>
    <w:div w:id="1069767072">
      <w:bodyDiv w:val="1"/>
      <w:marLeft w:val="0"/>
      <w:marRight w:val="0"/>
      <w:marTop w:val="0"/>
      <w:marBottom w:val="0"/>
      <w:divBdr>
        <w:top w:val="none" w:sz="0" w:space="0" w:color="auto"/>
        <w:left w:val="none" w:sz="0" w:space="0" w:color="auto"/>
        <w:bottom w:val="none" w:sz="0" w:space="0" w:color="auto"/>
        <w:right w:val="none" w:sz="0" w:space="0" w:color="auto"/>
      </w:divBdr>
    </w:div>
    <w:div w:id="1092624567">
      <w:bodyDiv w:val="1"/>
      <w:marLeft w:val="0"/>
      <w:marRight w:val="0"/>
      <w:marTop w:val="0"/>
      <w:marBottom w:val="0"/>
      <w:divBdr>
        <w:top w:val="none" w:sz="0" w:space="0" w:color="auto"/>
        <w:left w:val="none" w:sz="0" w:space="0" w:color="auto"/>
        <w:bottom w:val="none" w:sz="0" w:space="0" w:color="auto"/>
        <w:right w:val="none" w:sz="0" w:space="0" w:color="auto"/>
      </w:divBdr>
    </w:div>
    <w:div w:id="1098794282">
      <w:bodyDiv w:val="1"/>
      <w:marLeft w:val="0"/>
      <w:marRight w:val="0"/>
      <w:marTop w:val="0"/>
      <w:marBottom w:val="0"/>
      <w:divBdr>
        <w:top w:val="none" w:sz="0" w:space="0" w:color="auto"/>
        <w:left w:val="none" w:sz="0" w:space="0" w:color="auto"/>
        <w:bottom w:val="none" w:sz="0" w:space="0" w:color="auto"/>
        <w:right w:val="none" w:sz="0" w:space="0" w:color="auto"/>
      </w:divBdr>
    </w:div>
    <w:div w:id="1099913525">
      <w:bodyDiv w:val="1"/>
      <w:marLeft w:val="0"/>
      <w:marRight w:val="0"/>
      <w:marTop w:val="0"/>
      <w:marBottom w:val="0"/>
      <w:divBdr>
        <w:top w:val="none" w:sz="0" w:space="0" w:color="auto"/>
        <w:left w:val="none" w:sz="0" w:space="0" w:color="auto"/>
        <w:bottom w:val="none" w:sz="0" w:space="0" w:color="auto"/>
        <w:right w:val="none" w:sz="0" w:space="0" w:color="auto"/>
      </w:divBdr>
    </w:div>
    <w:div w:id="1117793690">
      <w:bodyDiv w:val="1"/>
      <w:marLeft w:val="0"/>
      <w:marRight w:val="0"/>
      <w:marTop w:val="0"/>
      <w:marBottom w:val="0"/>
      <w:divBdr>
        <w:top w:val="none" w:sz="0" w:space="0" w:color="auto"/>
        <w:left w:val="none" w:sz="0" w:space="0" w:color="auto"/>
        <w:bottom w:val="none" w:sz="0" w:space="0" w:color="auto"/>
        <w:right w:val="none" w:sz="0" w:space="0" w:color="auto"/>
      </w:divBdr>
    </w:div>
    <w:div w:id="1123814976">
      <w:bodyDiv w:val="1"/>
      <w:marLeft w:val="0"/>
      <w:marRight w:val="0"/>
      <w:marTop w:val="0"/>
      <w:marBottom w:val="0"/>
      <w:divBdr>
        <w:top w:val="none" w:sz="0" w:space="0" w:color="auto"/>
        <w:left w:val="none" w:sz="0" w:space="0" w:color="auto"/>
        <w:bottom w:val="none" w:sz="0" w:space="0" w:color="auto"/>
        <w:right w:val="none" w:sz="0" w:space="0" w:color="auto"/>
      </w:divBdr>
    </w:div>
    <w:div w:id="1125385997">
      <w:bodyDiv w:val="1"/>
      <w:marLeft w:val="0"/>
      <w:marRight w:val="0"/>
      <w:marTop w:val="0"/>
      <w:marBottom w:val="0"/>
      <w:divBdr>
        <w:top w:val="none" w:sz="0" w:space="0" w:color="auto"/>
        <w:left w:val="none" w:sz="0" w:space="0" w:color="auto"/>
        <w:bottom w:val="none" w:sz="0" w:space="0" w:color="auto"/>
        <w:right w:val="none" w:sz="0" w:space="0" w:color="auto"/>
      </w:divBdr>
    </w:div>
    <w:div w:id="1133909727">
      <w:bodyDiv w:val="1"/>
      <w:marLeft w:val="0"/>
      <w:marRight w:val="0"/>
      <w:marTop w:val="0"/>
      <w:marBottom w:val="0"/>
      <w:divBdr>
        <w:top w:val="none" w:sz="0" w:space="0" w:color="auto"/>
        <w:left w:val="none" w:sz="0" w:space="0" w:color="auto"/>
        <w:bottom w:val="none" w:sz="0" w:space="0" w:color="auto"/>
        <w:right w:val="none" w:sz="0" w:space="0" w:color="auto"/>
      </w:divBdr>
    </w:div>
    <w:div w:id="1137796741">
      <w:bodyDiv w:val="1"/>
      <w:marLeft w:val="0"/>
      <w:marRight w:val="0"/>
      <w:marTop w:val="0"/>
      <w:marBottom w:val="0"/>
      <w:divBdr>
        <w:top w:val="none" w:sz="0" w:space="0" w:color="auto"/>
        <w:left w:val="none" w:sz="0" w:space="0" w:color="auto"/>
        <w:bottom w:val="none" w:sz="0" w:space="0" w:color="auto"/>
        <w:right w:val="none" w:sz="0" w:space="0" w:color="auto"/>
      </w:divBdr>
    </w:div>
    <w:div w:id="1141531630">
      <w:bodyDiv w:val="1"/>
      <w:marLeft w:val="0"/>
      <w:marRight w:val="0"/>
      <w:marTop w:val="0"/>
      <w:marBottom w:val="0"/>
      <w:divBdr>
        <w:top w:val="none" w:sz="0" w:space="0" w:color="auto"/>
        <w:left w:val="none" w:sz="0" w:space="0" w:color="auto"/>
        <w:bottom w:val="none" w:sz="0" w:space="0" w:color="auto"/>
        <w:right w:val="none" w:sz="0" w:space="0" w:color="auto"/>
      </w:divBdr>
    </w:div>
    <w:div w:id="1141920641">
      <w:bodyDiv w:val="1"/>
      <w:marLeft w:val="0"/>
      <w:marRight w:val="0"/>
      <w:marTop w:val="0"/>
      <w:marBottom w:val="0"/>
      <w:divBdr>
        <w:top w:val="none" w:sz="0" w:space="0" w:color="auto"/>
        <w:left w:val="none" w:sz="0" w:space="0" w:color="auto"/>
        <w:bottom w:val="none" w:sz="0" w:space="0" w:color="auto"/>
        <w:right w:val="none" w:sz="0" w:space="0" w:color="auto"/>
      </w:divBdr>
    </w:div>
    <w:div w:id="1152255532">
      <w:bodyDiv w:val="1"/>
      <w:marLeft w:val="0"/>
      <w:marRight w:val="0"/>
      <w:marTop w:val="0"/>
      <w:marBottom w:val="0"/>
      <w:divBdr>
        <w:top w:val="none" w:sz="0" w:space="0" w:color="auto"/>
        <w:left w:val="none" w:sz="0" w:space="0" w:color="auto"/>
        <w:bottom w:val="none" w:sz="0" w:space="0" w:color="auto"/>
        <w:right w:val="none" w:sz="0" w:space="0" w:color="auto"/>
      </w:divBdr>
    </w:div>
    <w:div w:id="1172716750">
      <w:bodyDiv w:val="1"/>
      <w:marLeft w:val="0"/>
      <w:marRight w:val="0"/>
      <w:marTop w:val="0"/>
      <w:marBottom w:val="0"/>
      <w:divBdr>
        <w:top w:val="none" w:sz="0" w:space="0" w:color="auto"/>
        <w:left w:val="none" w:sz="0" w:space="0" w:color="auto"/>
        <w:bottom w:val="none" w:sz="0" w:space="0" w:color="auto"/>
        <w:right w:val="none" w:sz="0" w:space="0" w:color="auto"/>
      </w:divBdr>
    </w:div>
    <w:div w:id="1174031514">
      <w:bodyDiv w:val="1"/>
      <w:marLeft w:val="0"/>
      <w:marRight w:val="0"/>
      <w:marTop w:val="0"/>
      <w:marBottom w:val="0"/>
      <w:divBdr>
        <w:top w:val="none" w:sz="0" w:space="0" w:color="auto"/>
        <w:left w:val="none" w:sz="0" w:space="0" w:color="auto"/>
        <w:bottom w:val="none" w:sz="0" w:space="0" w:color="auto"/>
        <w:right w:val="none" w:sz="0" w:space="0" w:color="auto"/>
      </w:divBdr>
    </w:div>
    <w:div w:id="1178613723">
      <w:bodyDiv w:val="1"/>
      <w:marLeft w:val="0"/>
      <w:marRight w:val="0"/>
      <w:marTop w:val="0"/>
      <w:marBottom w:val="0"/>
      <w:divBdr>
        <w:top w:val="none" w:sz="0" w:space="0" w:color="auto"/>
        <w:left w:val="none" w:sz="0" w:space="0" w:color="auto"/>
        <w:bottom w:val="none" w:sz="0" w:space="0" w:color="auto"/>
        <w:right w:val="none" w:sz="0" w:space="0" w:color="auto"/>
      </w:divBdr>
    </w:div>
    <w:div w:id="1182401150">
      <w:bodyDiv w:val="1"/>
      <w:marLeft w:val="0"/>
      <w:marRight w:val="0"/>
      <w:marTop w:val="0"/>
      <w:marBottom w:val="0"/>
      <w:divBdr>
        <w:top w:val="none" w:sz="0" w:space="0" w:color="auto"/>
        <w:left w:val="none" w:sz="0" w:space="0" w:color="auto"/>
        <w:bottom w:val="none" w:sz="0" w:space="0" w:color="auto"/>
        <w:right w:val="none" w:sz="0" w:space="0" w:color="auto"/>
      </w:divBdr>
    </w:div>
    <w:div w:id="1199926609">
      <w:bodyDiv w:val="1"/>
      <w:marLeft w:val="0"/>
      <w:marRight w:val="0"/>
      <w:marTop w:val="0"/>
      <w:marBottom w:val="0"/>
      <w:divBdr>
        <w:top w:val="none" w:sz="0" w:space="0" w:color="auto"/>
        <w:left w:val="none" w:sz="0" w:space="0" w:color="auto"/>
        <w:bottom w:val="none" w:sz="0" w:space="0" w:color="auto"/>
        <w:right w:val="none" w:sz="0" w:space="0" w:color="auto"/>
      </w:divBdr>
    </w:div>
    <w:div w:id="1207983941">
      <w:bodyDiv w:val="1"/>
      <w:marLeft w:val="0"/>
      <w:marRight w:val="0"/>
      <w:marTop w:val="0"/>
      <w:marBottom w:val="0"/>
      <w:divBdr>
        <w:top w:val="none" w:sz="0" w:space="0" w:color="auto"/>
        <w:left w:val="none" w:sz="0" w:space="0" w:color="auto"/>
        <w:bottom w:val="none" w:sz="0" w:space="0" w:color="auto"/>
        <w:right w:val="none" w:sz="0" w:space="0" w:color="auto"/>
      </w:divBdr>
    </w:div>
    <w:div w:id="1211453574">
      <w:bodyDiv w:val="1"/>
      <w:marLeft w:val="0"/>
      <w:marRight w:val="0"/>
      <w:marTop w:val="0"/>
      <w:marBottom w:val="0"/>
      <w:divBdr>
        <w:top w:val="none" w:sz="0" w:space="0" w:color="auto"/>
        <w:left w:val="none" w:sz="0" w:space="0" w:color="auto"/>
        <w:bottom w:val="none" w:sz="0" w:space="0" w:color="auto"/>
        <w:right w:val="none" w:sz="0" w:space="0" w:color="auto"/>
      </w:divBdr>
    </w:div>
    <w:div w:id="1220743780">
      <w:bodyDiv w:val="1"/>
      <w:marLeft w:val="0"/>
      <w:marRight w:val="0"/>
      <w:marTop w:val="0"/>
      <w:marBottom w:val="0"/>
      <w:divBdr>
        <w:top w:val="none" w:sz="0" w:space="0" w:color="auto"/>
        <w:left w:val="none" w:sz="0" w:space="0" w:color="auto"/>
        <w:bottom w:val="none" w:sz="0" w:space="0" w:color="auto"/>
        <w:right w:val="none" w:sz="0" w:space="0" w:color="auto"/>
      </w:divBdr>
    </w:div>
    <w:div w:id="1240485098">
      <w:bodyDiv w:val="1"/>
      <w:marLeft w:val="0"/>
      <w:marRight w:val="0"/>
      <w:marTop w:val="0"/>
      <w:marBottom w:val="0"/>
      <w:divBdr>
        <w:top w:val="none" w:sz="0" w:space="0" w:color="auto"/>
        <w:left w:val="none" w:sz="0" w:space="0" w:color="auto"/>
        <w:bottom w:val="none" w:sz="0" w:space="0" w:color="auto"/>
        <w:right w:val="none" w:sz="0" w:space="0" w:color="auto"/>
      </w:divBdr>
    </w:div>
    <w:div w:id="1253195914">
      <w:bodyDiv w:val="1"/>
      <w:marLeft w:val="0"/>
      <w:marRight w:val="0"/>
      <w:marTop w:val="0"/>
      <w:marBottom w:val="0"/>
      <w:divBdr>
        <w:top w:val="none" w:sz="0" w:space="0" w:color="auto"/>
        <w:left w:val="none" w:sz="0" w:space="0" w:color="auto"/>
        <w:bottom w:val="none" w:sz="0" w:space="0" w:color="auto"/>
        <w:right w:val="none" w:sz="0" w:space="0" w:color="auto"/>
      </w:divBdr>
    </w:div>
    <w:div w:id="1260606463">
      <w:bodyDiv w:val="1"/>
      <w:marLeft w:val="0"/>
      <w:marRight w:val="0"/>
      <w:marTop w:val="0"/>
      <w:marBottom w:val="0"/>
      <w:divBdr>
        <w:top w:val="none" w:sz="0" w:space="0" w:color="auto"/>
        <w:left w:val="none" w:sz="0" w:space="0" w:color="auto"/>
        <w:bottom w:val="none" w:sz="0" w:space="0" w:color="auto"/>
        <w:right w:val="none" w:sz="0" w:space="0" w:color="auto"/>
      </w:divBdr>
    </w:div>
    <w:div w:id="1274482835">
      <w:bodyDiv w:val="1"/>
      <w:marLeft w:val="0"/>
      <w:marRight w:val="0"/>
      <w:marTop w:val="0"/>
      <w:marBottom w:val="0"/>
      <w:divBdr>
        <w:top w:val="none" w:sz="0" w:space="0" w:color="auto"/>
        <w:left w:val="none" w:sz="0" w:space="0" w:color="auto"/>
        <w:bottom w:val="none" w:sz="0" w:space="0" w:color="auto"/>
        <w:right w:val="none" w:sz="0" w:space="0" w:color="auto"/>
      </w:divBdr>
    </w:div>
    <w:div w:id="1293637053">
      <w:bodyDiv w:val="1"/>
      <w:marLeft w:val="0"/>
      <w:marRight w:val="0"/>
      <w:marTop w:val="0"/>
      <w:marBottom w:val="0"/>
      <w:divBdr>
        <w:top w:val="none" w:sz="0" w:space="0" w:color="auto"/>
        <w:left w:val="none" w:sz="0" w:space="0" w:color="auto"/>
        <w:bottom w:val="none" w:sz="0" w:space="0" w:color="auto"/>
        <w:right w:val="none" w:sz="0" w:space="0" w:color="auto"/>
      </w:divBdr>
    </w:div>
    <w:div w:id="1294944748">
      <w:bodyDiv w:val="1"/>
      <w:marLeft w:val="0"/>
      <w:marRight w:val="0"/>
      <w:marTop w:val="0"/>
      <w:marBottom w:val="0"/>
      <w:divBdr>
        <w:top w:val="none" w:sz="0" w:space="0" w:color="auto"/>
        <w:left w:val="none" w:sz="0" w:space="0" w:color="auto"/>
        <w:bottom w:val="none" w:sz="0" w:space="0" w:color="auto"/>
        <w:right w:val="none" w:sz="0" w:space="0" w:color="auto"/>
      </w:divBdr>
    </w:div>
    <w:div w:id="1320386159">
      <w:bodyDiv w:val="1"/>
      <w:marLeft w:val="0"/>
      <w:marRight w:val="0"/>
      <w:marTop w:val="0"/>
      <w:marBottom w:val="0"/>
      <w:divBdr>
        <w:top w:val="none" w:sz="0" w:space="0" w:color="auto"/>
        <w:left w:val="none" w:sz="0" w:space="0" w:color="auto"/>
        <w:bottom w:val="none" w:sz="0" w:space="0" w:color="auto"/>
        <w:right w:val="none" w:sz="0" w:space="0" w:color="auto"/>
      </w:divBdr>
    </w:div>
    <w:div w:id="1323581389">
      <w:bodyDiv w:val="1"/>
      <w:marLeft w:val="0"/>
      <w:marRight w:val="0"/>
      <w:marTop w:val="0"/>
      <w:marBottom w:val="0"/>
      <w:divBdr>
        <w:top w:val="none" w:sz="0" w:space="0" w:color="auto"/>
        <w:left w:val="none" w:sz="0" w:space="0" w:color="auto"/>
        <w:bottom w:val="none" w:sz="0" w:space="0" w:color="auto"/>
        <w:right w:val="none" w:sz="0" w:space="0" w:color="auto"/>
      </w:divBdr>
    </w:div>
    <w:div w:id="1324120790">
      <w:bodyDiv w:val="1"/>
      <w:marLeft w:val="0"/>
      <w:marRight w:val="0"/>
      <w:marTop w:val="0"/>
      <w:marBottom w:val="0"/>
      <w:divBdr>
        <w:top w:val="none" w:sz="0" w:space="0" w:color="auto"/>
        <w:left w:val="none" w:sz="0" w:space="0" w:color="auto"/>
        <w:bottom w:val="none" w:sz="0" w:space="0" w:color="auto"/>
        <w:right w:val="none" w:sz="0" w:space="0" w:color="auto"/>
      </w:divBdr>
    </w:div>
    <w:div w:id="1325013547">
      <w:bodyDiv w:val="1"/>
      <w:marLeft w:val="0"/>
      <w:marRight w:val="0"/>
      <w:marTop w:val="0"/>
      <w:marBottom w:val="0"/>
      <w:divBdr>
        <w:top w:val="none" w:sz="0" w:space="0" w:color="auto"/>
        <w:left w:val="none" w:sz="0" w:space="0" w:color="auto"/>
        <w:bottom w:val="none" w:sz="0" w:space="0" w:color="auto"/>
        <w:right w:val="none" w:sz="0" w:space="0" w:color="auto"/>
      </w:divBdr>
    </w:div>
    <w:div w:id="1327055926">
      <w:bodyDiv w:val="1"/>
      <w:marLeft w:val="0"/>
      <w:marRight w:val="0"/>
      <w:marTop w:val="0"/>
      <w:marBottom w:val="0"/>
      <w:divBdr>
        <w:top w:val="none" w:sz="0" w:space="0" w:color="auto"/>
        <w:left w:val="none" w:sz="0" w:space="0" w:color="auto"/>
        <w:bottom w:val="none" w:sz="0" w:space="0" w:color="auto"/>
        <w:right w:val="none" w:sz="0" w:space="0" w:color="auto"/>
      </w:divBdr>
    </w:div>
    <w:div w:id="1328749066">
      <w:bodyDiv w:val="1"/>
      <w:marLeft w:val="0"/>
      <w:marRight w:val="0"/>
      <w:marTop w:val="0"/>
      <w:marBottom w:val="0"/>
      <w:divBdr>
        <w:top w:val="none" w:sz="0" w:space="0" w:color="auto"/>
        <w:left w:val="none" w:sz="0" w:space="0" w:color="auto"/>
        <w:bottom w:val="none" w:sz="0" w:space="0" w:color="auto"/>
        <w:right w:val="none" w:sz="0" w:space="0" w:color="auto"/>
      </w:divBdr>
    </w:div>
    <w:div w:id="1329287163">
      <w:bodyDiv w:val="1"/>
      <w:marLeft w:val="0"/>
      <w:marRight w:val="0"/>
      <w:marTop w:val="0"/>
      <w:marBottom w:val="0"/>
      <w:divBdr>
        <w:top w:val="none" w:sz="0" w:space="0" w:color="auto"/>
        <w:left w:val="none" w:sz="0" w:space="0" w:color="auto"/>
        <w:bottom w:val="none" w:sz="0" w:space="0" w:color="auto"/>
        <w:right w:val="none" w:sz="0" w:space="0" w:color="auto"/>
      </w:divBdr>
    </w:div>
    <w:div w:id="1331954633">
      <w:bodyDiv w:val="1"/>
      <w:marLeft w:val="0"/>
      <w:marRight w:val="0"/>
      <w:marTop w:val="0"/>
      <w:marBottom w:val="0"/>
      <w:divBdr>
        <w:top w:val="none" w:sz="0" w:space="0" w:color="auto"/>
        <w:left w:val="none" w:sz="0" w:space="0" w:color="auto"/>
        <w:bottom w:val="none" w:sz="0" w:space="0" w:color="auto"/>
        <w:right w:val="none" w:sz="0" w:space="0" w:color="auto"/>
      </w:divBdr>
    </w:div>
    <w:div w:id="1334138260">
      <w:bodyDiv w:val="1"/>
      <w:marLeft w:val="0"/>
      <w:marRight w:val="0"/>
      <w:marTop w:val="0"/>
      <w:marBottom w:val="0"/>
      <w:divBdr>
        <w:top w:val="none" w:sz="0" w:space="0" w:color="auto"/>
        <w:left w:val="none" w:sz="0" w:space="0" w:color="auto"/>
        <w:bottom w:val="none" w:sz="0" w:space="0" w:color="auto"/>
        <w:right w:val="none" w:sz="0" w:space="0" w:color="auto"/>
      </w:divBdr>
    </w:div>
    <w:div w:id="1344629367">
      <w:bodyDiv w:val="1"/>
      <w:marLeft w:val="0"/>
      <w:marRight w:val="0"/>
      <w:marTop w:val="0"/>
      <w:marBottom w:val="0"/>
      <w:divBdr>
        <w:top w:val="none" w:sz="0" w:space="0" w:color="auto"/>
        <w:left w:val="none" w:sz="0" w:space="0" w:color="auto"/>
        <w:bottom w:val="none" w:sz="0" w:space="0" w:color="auto"/>
        <w:right w:val="none" w:sz="0" w:space="0" w:color="auto"/>
      </w:divBdr>
    </w:div>
    <w:div w:id="1348750899">
      <w:bodyDiv w:val="1"/>
      <w:marLeft w:val="0"/>
      <w:marRight w:val="0"/>
      <w:marTop w:val="0"/>
      <w:marBottom w:val="0"/>
      <w:divBdr>
        <w:top w:val="none" w:sz="0" w:space="0" w:color="auto"/>
        <w:left w:val="none" w:sz="0" w:space="0" w:color="auto"/>
        <w:bottom w:val="none" w:sz="0" w:space="0" w:color="auto"/>
        <w:right w:val="none" w:sz="0" w:space="0" w:color="auto"/>
      </w:divBdr>
    </w:div>
    <w:div w:id="1359969001">
      <w:bodyDiv w:val="1"/>
      <w:marLeft w:val="0"/>
      <w:marRight w:val="0"/>
      <w:marTop w:val="0"/>
      <w:marBottom w:val="0"/>
      <w:divBdr>
        <w:top w:val="none" w:sz="0" w:space="0" w:color="auto"/>
        <w:left w:val="none" w:sz="0" w:space="0" w:color="auto"/>
        <w:bottom w:val="none" w:sz="0" w:space="0" w:color="auto"/>
        <w:right w:val="none" w:sz="0" w:space="0" w:color="auto"/>
      </w:divBdr>
    </w:div>
    <w:div w:id="1363551080">
      <w:bodyDiv w:val="1"/>
      <w:marLeft w:val="0"/>
      <w:marRight w:val="0"/>
      <w:marTop w:val="0"/>
      <w:marBottom w:val="0"/>
      <w:divBdr>
        <w:top w:val="none" w:sz="0" w:space="0" w:color="auto"/>
        <w:left w:val="none" w:sz="0" w:space="0" w:color="auto"/>
        <w:bottom w:val="none" w:sz="0" w:space="0" w:color="auto"/>
        <w:right w:val="none" w:sz="0" w:space="0" w:color="auto"/>
      </w:divBdr>
    </w:div>
    <w:div w:id="1367178276">
      <w:bodyDiv w:val="1"/>
      <w:marLeft w:val="0"/>
      <w:marRight w:val="0"/>
      <w:marTop w:val="0"/>
      <w:marBottom w:val="0"/>
      <w:divBdr>
        <w:top w:val="none" w:sz="0" w:space="0" w:color="auto"/>
        <w:left w:val="none" w:sz="0" w:space="0" w:color="auto"/>
        <w:bottom w:val="none" w:sz="0" w:space="0" w:color="auto"/>
        <w:right w:val="none" w:sz="0" w:space="0" w:color="auto"/>
      </w:divBdr>
    </w:div>
    <w:div w:id="1368600383">
      <w:bodyDiv w:val="1"/>
      <w:marLeft w:val="0"/>
      <w:marRight w:val="0"/>
      <w:marTop w:val="0"/>
      <w:marBottom w:val="0"/>
      <w:divBdr>
        <w:top w:val="none" w:sz="0" w:space="0" w:color="auto"/>
        <w:left w:val="none" w:sz="0" w:space="0" w:color="auto"/>
        <w:bottom w:val="none" w:sz="0" w:space="0" w:color="auto"/>
        <w:right w:val="none" w:sz="0" w:space="0" w:color="auto"/>
      </w:divBdr>
    </w:div>
    <w:div w:id="1371493135">
      <w:bodyDiv w:val="1"/>
      <w:marLeft w:val="0"/>
      <w:marRight w:val="0"/>
      <w:marTop w:val="0"/>
      <w:marBottom w:val="0"/>
      <w:divBdr>
        <w:top w:val="none" w:sz="0" w:space="0" w:color="auto"/>
        <w:left w:val="none" w:sz="0" w:space="0" w:color="auto"/>
        <w:bottom w:val="none" w:sz="0" w:space="0" w:color="auto"/>
        <w:right w:val="none" w:sz="0" w:space="0" w:color="auto"/>
      </w:divBdr>
    </w:div>
    <w:div w:id="1390151882">
      <w:bodyDiv w:val="1"/>
      <w:marLeft w:val="0"/>
      <w:marRight w:val="0"/>
      <w:marTop w:val="0"/>
      <w:marBottom w:val="0"/>
      <w:divBdr>
        <w:top w:val="none" w:sz="0" w:space="0" w:color="auto"/>
        <w:left w:val="none" w:sz="0" w:space="0" w:color="auto"/>
        <w:bottom w:val="none" w:sz="0" w:space="0" w:color="auto"/>
        <w:right w:val="none" w:sz="0" w:space="0" w:color="auto"/>
      </w:divBdr>
    </w:div>
    <w:div w:id="1393776542">
      <w:bodyDiv w:val="1"/>
      <w:marLeft w:val="0"/>
      <w:marRight w:val="0"/>
      <w:marTop w:val="0"/>
      <w:marBottom w:val="0"/>
      <w:divBdr>
        <w:top w:val="none" w:sz="0" w:space="0" w:color="auto"/>
        <w:left w:val="none" w:sz="0" w:space="0" w:color="auto"/>
        <w:bottom w:val="none" w:sz="0" w:space="0" w:color="auto"/>
        <w:right w:val="none" w:sz="0" w:space="0" w:color="auto"/>
      </w:divBdr>
    </w:div>
    <w:div w:id="1397974198">
      <w:bodyDiv w:val="1"/>
      <w:marLeft w:val="0"/>
      <w:marRight w:val="0"/>
      <w:marTop w:val="0"/>
      <w:marBottom w:val="0"/>
      <w:divBdr>
        <w:top w:val="none" w:sz="0" w:space="0" w:color="auto"/>
        <w:left w:val="none" w:sz="0" w:space="0" w:color="auto"/>
        <w:bottom w:val="none" w:sz="0" w:space="0" w:color="auto"/>
        <w:right w:val="none" w:sz="0" w:space="0" w:color="auto"/>
      </w:divBdr>
    </w:div>
    <w:div w:id="1400128176">
      <w:bodyDiv w:val="1"/>
      <w:marLeft w:val="0"/>
      <w:marRight w:val="0"/>
      <w:marTop w:val="0"/>
      <w:marBottom w:val="0"/>
      <w:divBdr>
        <w:top w:val="none" w:sz="0" w:space="0" w:color="auto"/>
        <w:left w:val="none" w:sz="0" w:space="0" w:color="auto"/>
        <w:bottom w:val="none" w:sz="0" w:space="0" w:color="auto"/>
        <w:right w:val="none" w:sz="0" w:space="0" w:color="auto"/>
      </w:divBdr>
    </w:div>
    <w:div w:id="1401513250">
      <w:bodyDiv w:val="1"/>
      <w:marLeft w:val="0"/>
      <w:marRight w:val="0"/>
      <w:marTop w:val="0"/>
      <w:marBottom w:val="0"/>
      <w:divBdr>
        <w:top w:val="none" w:sz="0" w:space="0" w:color="auto"/>
        <w:left w:val="none" w:sz="0" w:space="0" w:color="auto"/>
        <w:bottom w:val="none" w:sz="0" w:space="0" w:color="auto"/>
        <w:right w:val="none" w:sz="0" w:space="0" w:color="auto"/>
      </w:divBdr>
    </w:div>
    <w:div w:id="1407073052">
      <w:bodyDiv w:val="1"/>
      <w:marLeft w:val="0"/>
      <w:marRight w:val="0"/>
      <w:marTop w:val="0"/>
      <w:marBottom w:val="0"/>
      <w:divBdr>
        <w:top w:val="none" w:sz="0" w:space="0" w:color="auto"/>
        <w:left w:val="none" w:sz="0" w:space="0" w:color="auto"/>
        <w:bottom w:val="none" w:sz="0" w:space="0" w:color="auto"/>
        <w:right w:val="none" w:sz="0" w:space="0" w:color="auto"/>
      </w:divBdr>
    </w:div>
    <w:div w:id="1411923824">
      <w:bodyDiv w:val="1"/>
      <w:marLeft w:val="0"/>
      <w:marRight w:val="0"/>
      <w:marTop w:val="0"/>
      <w:marBottom w:val="0"/>
      <w:divBdr>
        <w:top w:val="none" w:sz="0" w:space="0" w:color="auto"/>
        <w:left w:val="none" w:sz="0" w:space="0" w:color="auto"/>
        <w:bottom w:val="none" w:sz="0" w:space="0" w:color="auto"/>
        <w:right w:val="none" w:sz="0" w:space="0" w:color="auto"/>
      </w:divBdr>
    </w:div>
    <w:div w:id="1439639673">
      <w:bodyDiv w:val="1"/>
      <w:marLeft w:val="0"/>
      <w:marRight w:val="0"/>
      <w:marTop w:val="0"/>
      <w:marBottom w:val="0"/>
      <w:divBdr>
        <w:top w:val="none" w:sz="0" w:space="0" w:color="auto"/>
        <w:left w:val="none" w:sz="0" w:space="0" w:color="auto"/>
        <w:bottom w:val="none" w:sz="0" w:space="0" w:color="auto"/>
        <w:right w:val="none" w:sz="0" w:space="0" w:color="auto"/>
      </w:divBdr>
    </w:div>
    <w:div w:id="1441756099">
      <w:bodyDiv w:val="1"/>
      <w:marLeft w:val="0"/>
      <w:marRight w:val="0"/>
      <w:marTop w:val="0"/>
      <w:marBottom w:val="0"/>
      <w:divBdr>
        <w:top w:val="none" w:sz="0" w:space="0" w:color="auto"/>
        <w:left w:val="none" w:sz="0" w:space="0" w:color="auto"/>
        <w:bottom w:val="none" w:sz="0" w:space="0" w:color="auto"/>
        <w:right w:val="none" w:sz="0" w:space="0" w:color="auto"/>
      </w:divBdr>
    </w:div>
    <w:div w:id="1474836697">
      <w:bodyDiv w:val="1"/>
      <w:marLeft w:val="0"/>
      <w:marRight w:val="0"/>
      <w:marTop w:val="0"/>
      <w:marBottom w:val="0"/>
      <w:divBdr>
        <w:top w:val="none" w:sz="0" w:space="0" w:color="auto"/>
        <w:left w:val="none" w:sz="0" w:space="0" w:color="auto"/>
        <w:bottom w:val="none" w:sz="0" w:space="0" w:color="auto"/>
        <w:right w:val="none" w:sz="0" w:space="0" w:color="auto"/>
      </w:divBdr>
    </w:div>
    <w:div w:id="1476604575">
      <w:bodyDiv w:val="1"/>
      <w:marLeft w:val="0"/>
      <w:marRight w:val="0"/>
      <w:marTop w:val="0"/>
      <w:marBottom w:val="0"/>
      <w:divBdr>
        <w:top w:val="none" w:sz="0" w:space="0" w:color="auto"/>
        <w:left w:val="none" w:sz="0" w:space="0" w:color="auto"/>
        <w:bottom w:val="none" w:sz="0" w:space="0" w:color="auto"/>
        <w:right w:val="none" w:sz="0" w:space="0" w:color="auto"/>
      </w:divBdr>
    </w:div>
    <w:div w:id="1479880257">
      <w:bodyDiv w:val="1"/>
      <w:marLeft w:val="0"/>
      <w:marRight w:val="0"/>
      <w:marTop w:val="0"/>
      <w:marBottom w:val="0"/>
      <w:divBdr>
        <w:top w:val="none" w:sz="0" w:space="0" w:color="auto"/>
        <w:left w:val="none" w:sz="0" w:space="0" w:color="auto"/>
        <w:bottom w:val="none" w:sz="0" w:space="0" w:color="auto"/>
        <w:right w:val="none" w:sz="0" w:space="0" w:color="auto"/>
      </w:divBdr>
    </w:div>
    <w:div w:id="1481114769">
      <w:bodyDiv w:val="1"/>
      <w:marLeft w:val="0"/>
      <w:marRight w:val="0"/>
      <w:marTop w:val="0"/>
      <w:marBottom w:val="0"/>
      <w:divBdr>
        <w:top w:val="none" w:sz="0" w:space="0" w:color="auto"/>
        <w:left w:val="none" w:sz="0" w:space="0" w:color="auto"/>
        <w:bottom w:val="none" w:sz="0" w:space="0" w:color="auto"/>
        <w:right w:val="none" w:sz="0" w:space="0" w:color="auto"/>
      </w:divBdr>
    </w:div>
    <w:div w:id="1489322996">
      <w:bodyDiv w:val="1"/>
      <w:marLeft w:val="0"/>
      <w:marRight w:val="0"/>
      <w:marTop w:val="0"/>
      <w:marBottom w:val="0"/>
      <w:divBdr>
        <w:top w:val="none" w:sz="0" w:space="0" w:color="auto"/>
        <w:left w:val="none" w:sz="0" w:space="0" w:color="auto"/>
        <w:bottom w:val="none" w:sz="0" w:space="0" w:color="auto"/>
        <w:right w:val="none" w:sz="0" w:space="0" w:color="auto"/>
      </w:divBdr>
    </w:div>
    <w:div w:id="1498575227">
      <w:bodyDiv w:val="1"/>
      <w:marLeft w:val="0"/>
      <w:marRight w:val="0"/>
      <w:marTop w:val="0"/>
      <w:marBottom w:val="0"/>
      <w:divBdr>
        <w:top w:val="none" w:sz="0" w:space="0" w:color="auto"/>
        <w:left w:val="none" w:sz="0" w:space="0" w:color="auto"/>
        <w:bottom w:val="none" w:sz="0" w:space="0" w:color="auto"/>
        <w:right w:val="none" w:sz="0" w:space="0" w:color="auto"/>
      </w:divBdr>
    </w:div>
    <w:div w:id="1512911744">
      <w:bodyDiv w:val="1"/>
      <w:marLeft w:val="0"/>
      <w:marRight w:val="0"/>
      <w:marTop w:val="0"/>
      <w:marBottom w:val="0"/>
      <w:divBdr>
        <w:top w:val="none" w:sz="0" w:space="0" w:color="auto"/>
        <w:left w:val="none" w:sz="0" w:space="0" w:color="auto"/>
        <w:bottom w:val="none" w:sz="0" w:space="0" w:color="auto"/>
        <w:right w:val="none" w:sz="0" w:space="0" w:color="auto"/>
      </w:divBdr>
    </w:div>
    <w:div w:id="1520847252">
      <w:bodyDiv w:val="1"/>
      <w:marLeft w:val="0"/>
      <w:marRight w:val="0"/>
      <w:marTop w:val="0"/>
      <w:marBottom w:val="0"/>
      <w:divBdr>
        <w:top w:val="none" w:sz="0" w:space="0" w:color="auto"/>
        <w:left w:val="none" w:sz="0" w:space="0" w:color="auto"/>
        <w:bottom w:val="none" w:sz="0" w:space="0" w:color="auto"/>
        <w:right w:val="none" w:sz="0" w:space="0" w:color="auto"/>
      </w:divBdr>
    </w:div>
    <w:div w:id="1529487370">
      <w:bodyDiv w:val="1"/>
      <w:marLeft w:val="0"/>
      <w:marRight w:val="0"/>
      <w:marTop w:val="0"/>
      <w:marBottom w:val="0"/>
      <w:divBdr>
        <w:top w:val="none" w:sz="0" w:space="0" w:color="auto"/>
        <w:left w:val="none" w:sz="0" w:space="0" w:color="auto"/>
        <w:bottom w:val="none" w:sz="0" w:space="0" w:color="auto"/>
        <w:right w:val="none" w:sz="0" w:space="0" w:color="auto"/>
      </w:divBdr>
    </w:div>
    <w:div w:id="1529753716">
      <w:bodyDiv w:val="1"/>
      <w:marLeft w:val="0"/>
      <w:marRight w:val="0"/>
      <w:marTop w:val="0"/>
      <w:marBottom w:val="0"/>
      <w:divBdr>
        <w:top w:val="none" w:sz="0" w:space="0" w:color="auto"/>
        <w:left w:val="none" w:sz="0" w:space="0" w:color="auto"/>
        <w:bottom w:val="none" w:sz="0" w:space="0" w:color="auto"/>
        <w:right w:val="none" w:sz="0" w:space="0" w:color="auto"/>
      </w:divBdr>
    </w:div>
    <w:div w:id="1547525889">
      <w:bodyDiv w:val="1"/>
      <w:marLeft w:val="0"/>
      <w:marRight w:val="0"/>
      <w:marTop w:val="0"/>
      <w:marBottom w:val="0"/>
      <w:divBdr>
        <w:top w:val="none" w:sz="0" w:space="0" w:color="auto"/>
        <w:left w:val="none" w:sz="0" w:space="0" w:color="auto"/>
        <w:bottom w:val="none" w:sz="0" w:space="0" w:color="auto"/>
        <w:right w:val="none" w:sz="0" w:space="0" w:color="auto"/>
      </w:divBdr>
    </w:div>
    <w:div w:id="1554459978">
      <w:bodyDiv w:val="1"/>
      <w:marLeft w:val="0"/>
      <w:marRight w:val="0"/>
      <w:marTop w:val="0"/>
      <w:marBottom w:val="0"/>
      <w:divBdr>
        <w:top w:val="none" w:sz="0" w:space="0" w:color="auto"/>
        <w:left w:val="none" w:sz="0" w:space="0" w:color="auto"/>
        <w:bottom w:val="none" w:sz="0" w:space="0" w:color="auto"/>
        <w:right w:val="none" w:sz="0" w:space="0" w:color="auto"/>
      </w:divBdr>
    </w:div>
    <w:div w:id="1564635954">
      <w:bodyDiv w:val="1"/>
      <w:marLeft w:val="0"/>
      <w:marRight w:val="0"/>
      <w:marTop w:val="0"/>
      <w:marBottom w:val="0"/>
      <w:divBdr>
        <w:top w:val="none" w:sz="0" w:space="0" w:color="auto"/>
        <w:left w:val="none" w:sz="0" w:space="0" w:color="auto"/>
        <w:bottom w:val="none" w:sz="0" w:space="0" w:color="auto"/>
        <w:right w:val="none" w:sz="0" w:space="0" w:color="auto"/>
      </w:divBdr>
    </w:div>
    <w:div w:id="1568104705">
      <w:bodyDiv w:val="1"/>
      <w:marLeft w:val="0"/>
      <w:marRight w:val="0"/>
      <w:marTop w:val="0"/>
      <w:marBottom w:val="0"/>
      <w:divBdr>
        <w:top w:val="none" w:sz="0" w:space="0" w:color="auto"/>
        <w:left w:val="none" w:sz="0" w:space="0" w:color="auto"/>
        <w:bottom w:val="none" w:sz="0" w:space="0" w:color="auto"/>
        <w:right w:val="none" w:sz="0" w:space="0" w:color="auto"/>
      </w:divBdr>
    </w:div>
    <w:div w:id="1586838914">
      <w:bodyDiv w:val="1"/>
      <w:marLeft w:val="0"/>
      <w:marRight w:val="0"/>
      <w:marTop w:val="0"/>
      <w:marBottom w:val="0"/>
      <w:divBdr>
        <w:top w:val="none" w:sz="0" w:space="0" w:color="auto"/>
        <w:left w:val="none" w:sz="0" w:space="0" w:color="auto"/>
        <w:bottom w:val="none" w:sz="0" w:space="0" w:color="auto"/>
        <w:right w:val="none" w:sz="0" w:space="0" w:color="auto"/>
      </w:divBdr>
    </w:div>
    <w:div w:id="1590771192">
      <w:bodyDiv w:val="1"/>
      <w:marLeft w:val="0"/>
      <w:marRight w:val="0"/>
      <w:marTop w:val="0"/>
      <w:marBottom w:val="0"/>
      <w:divBdr>
        <w:top w:val="none" w:sz="0" w:space="0" w:color="auto"/>
        <w:left w:val="none" w:sz="0" w:space="0" w:color="auto"/>
        <w:bottom w:val="none" w:sz="0" w:space="0" w:color="auto"/>
        <w:right w:val="none" w:sz="0" w:space="0" w:color="auto"/>
      </w:divBdr>
    </w:div>
    <w:div w:id="1606883514">
      <w:bodyDiv w:val="1"/>
      <w:marLeft w:val="0"/>
      <w:marRight w:val="0"/>
      <w:marTop w:val="0"/>
      <w:marBottom w:val="0"/>
      <w:divBdr>
        <w:top w:val="none" w:sz="0" w:space="0" w:color="auto"/>
        <w:left w:val="none" w:sz="0" w:space="0" w:color="auto"/>
        <w:bottom w:val="none" w:sz="0" w:space="0" w:color="auto"/>
        <w:right w:val="none" w:sz="0" w:space="0" w:color="auto"/>
      </w:divBdr>
    </w:div>
    <w:div w:id="1608926438">
      <w:bodyDiv w:val="1"/>
      <w:marLeft w:val="0"/>
      <w:marRight w:val="0"/>
      <w:marTop w:val="0"/>
      <w:marBottom w:val="0"/>
      <w:divBdr>
        <w:top w:val="none" w:sz="0" w:space="0" w:color="auto"/>
        <w:left w:val="none" w:sz="0" w:space="0" w:color="auto"/>
        <w:bottom w:val="none" w:sz="0" w:space="0" w:color="auto"/>
        <w:right w:val="none" w:sz="0" w:space="0" w:color="auto"/>
      </w:divBdr>
    </w:div>
    <w:div w:id="1626034825">
      <w:bodyDiv w:val="1"/>
      <w:marLeft w:val="0"/>
      <w:marRight w:val="0"/>
      <w:marTop w:val="0"/>
      <w:marBottom w:val="0"/>
      <w:divBdr>
        <w:top w:val="none" w:sz="0" w:space="0" w:color="auto"/>
        <w:left w:val="none" w:sz="0" w:space="0" w:color="auto"/>
        <w:bottom w:val="none" w:sz="0" w:space="0" w:color="auto"/>
        <w:right w:val="none" w:sz="0" w:space="0" w:color="auto"/>
      </w:divBdr>
    </w:div>
    <w:div w:id="1630626796">
      <w:bodyDiv w:val="1"/>
      <w:marLeft w:val="0"/>
      <w:marRight w:val="0"/>
      <w:marTop w:val="0"/>
      <w:marBottom w:val="0"/>
      <w:divBdr>
        <w:top w:val="none" w:sz="0" w:space="0" w:color="auto"/>
        <w:left w:val="none" w:sz="0" w:space="0" w:color="auto"/>
        <w:bottom w:val="none" w:sz="0" w:space="0" w:color="auto"/>
        <w:right w:val="none" w:sz="0" w:space="0" w:color="auto"/>
      </w:divBdr>
    </w:div>
    <w:div w:id="1635867605">
      <w:bodyDiv w:val="1"/>
      <w:marLeft w:val="0"/>
      <w:marRight w:val="0"/>
      <w:marTop w:val="0"/>
      <w:marBottom w:val="0"/>
      <w:divBdr>
        <w:top w:val="none" w:sz="0" w:space="0" w:color="auto"/>
        <w:left w:val="none" w:sz="0" w:space="0" w:color="auto"/>
        <w:bottom w:val="none" w:sz="0" w:space="0" w:color="auto"/>
        <w:right w:val="none" w:sz="0" w:space="0" w:color="auto"/>
      </w:divBdr>
    </w:div>
    <w:div w:id="1642418694">
      <w:bodyDiv w:val="1"/>
      <w:marLeft w:val="0"/>
      <w:marRight w:val="0"/>
      <w:marTop w:val="0"/>
      <w:marBottom w:val="0"/>
      <w:divBdr>
        <w:top w:val="none" w:sz="0" w:space="0" w:color="auto"/>
        <w:left w:val="none" w:sz="0" w:space="0" w:color="auto"/>
        <w:bottom w:val="none" w:sz="0" w:space="0" w:color="auto"/>
        <w:right w:val="none" w:sz="0" w:space="0" w:color="auto"/>
      </w:divBdr>
    </w:div>
    <w:div w:id="1647052824">
      <w:bodyDiv w:val="1"/>
      <w:marLeft w:val="0"/>
      <w:marRight w:val="0"/>
      <w:marTop w:val="0"/>
      <w:marBottom w:val="0"/>
      <w:divBdr>
        <w:top w:val="none" w:sz="0" w:space="0" w:color="auto"/>
        <w:left w:val="none" w:sz="0" w:space="0" w:color="auto"/>
        <w:bottom w:val="none" w:sz="0" w:space="0" w:color="auto"/>
        <w:right w:val="none" w:sz="0" w:space="0" w:color="auto"/>
      </w:divBdr>
    </w:div>
    <w:div w:id="1647319622">
      <w:bodyDiv w:val="1"/>
      <w:marLeft w:val="0"/>
      <w:marRight w:val="0"/>
      <w:marTop w:val="0"/>
      <w:marBottom w:val="0"/>
      <w:divBdr>
        <w:top w:val="none" w:sz="0" w:space="0" w:color="auto"/>
        <w:left w:val="none" w:sz="0" w:space="0" w:color="auto"/>
        <w:bottom w:val="none" w:sz="0" w:space="0" w:color="auto"/>
        <w:right w:val="none" w:sz="0" w:space="0" w:color="auto"/>
      </w:divBdr>
    </w:div>
    <w:div w:id="1649045939">
      <w:bodyDiv w:val="1"/>
      <w:marLeft w:val="0"/>
      <w:marRight w:val="0"/>
      <w:marTop w:val="0"/>
      <w:marBottom w:val="0"/>
      <w:divBdr>
        <w:top w:val="none" w:sz="0" w:space="0" w:color="auto"/>
        <w:left w:val="none" w:sz="0" w:space="0" w:color="auto"/>
        <w:bottom w:val="none" w:sz="0" w:space="0" w:color="auto"/>
        <w:right w:val="none" w:sz="0" w:space="0" w:color="auto"/>
      </w:divBdr>
    </w:div>
    <w:div w:id="1654483018">
      <w:bodyDiv w:val="1"/>
      <w:marLeft w:val="0"/>
      <w:marRight w:val="0"/>
      <w:marTop w:val="0"/>
      <w:marBottom w:val="0"/>
      <w:divBdr>
        <w:top w:val="none" w:sz="0" w:space="0" w:color="auto"/>
        <w:left w:val="none" w:sz="0" w:space="0" w:color="auto"/>
        <w:bottom w:val="none" w:sz="0" w:space="0" w:color="auto"/>
        <w:right w:val="none" w:sz="0" w:space="0" w:color="auto"/>
      </w:divBdr>
    </w:div>
    <w:div w:id="1667856128">
      <w:bodyDiv w:val="1"/>
      <w:marLeft w:val="0"/>
      <w:marRight w:val="0"/>
      <w:marTop w:val="0"/>
      <w:marBottom w:val="0"/>
      <w:divBdr>
        <w:top w:val="none" w:sz="0" w:space="0" w:color="auto"/>
        <w:left w:val="none" w:sz="0" w:space="0" w:color="auto"/>
        <w:bottom w:val="none" w:sz="0" w:space="0" w:color="auto"/>
        <w:right w:val="none" w:sz="0" w:space="0" w:color="auto"/>
      </w:divBdr>
    </w:div>
    <w:div w:id="1668095609">
      <w:bodyDiv w:val="1"/>
      <w:marLeft w:val="0"/>
      <w:marRight w:val="0"/>
      <w:marTop w:val="0"/>
      <w:marBottom w:val="0"/>
      <w:divBdr>
        <w:top w:val="none" w:sz="0" w:space="0" w:color="auto"/>
        <w:left w:val="none" w:sz="0" w:space="0" w:color="auto"/>
        <w:bottom w:val="none" w:sz="0" w:space="0" w:color="auto"/>
        <w:right w:val="none" w:sz="0" w:space="0" w:color="auto"/>
      </w:divBdr>
    </w:div>
    <w:div w:id="1674722026">
      <w:bodyDiv w:val="1"/>
      <w:marLeft w:val="0"/>
      <w:marRight w:val="0"/>
      <w:marTop w:val="0"/>
      <w:marBottom w:val="0"/>
      <w:divBdr>
        <w:top w:val="none" w:sz="0" w:space="0" w:color="auto"/>
        <w:left w:val="none" w:sz="0" w:space="0" w:color="auto"/>
        <w:bottom w:val="none" w:sz="0" w:space="0" w:color="auto"/>
        <w:right w:val="none" w:sz="0" w:space="0" w:color="auto"/>
      </w:divBdr>
    </w:div>
    <w:div w:id="1677270352">
      <w:bodyDiv w:val="1"/>
      <w:marLeft w:val="0"/>
      <w:marRight w:val="0"/>
      <w:marTop w:val="0"/>
      <w:marBottom w:val="0"/>
      <w:divBdr>
        <w:top w:val="none" w:sz="0" w:space="0" w:color="auto"/>
        <w:left w:val="none" w:sz="0" w:space="0" w:color="auto"/>
        <w:bottom w:val="none" w:sz="0" w:space="0" w:color="auto"/>
        <w:right w:val="none" w:sz="0" w:space="0" w:color="auto"/>
      </w:divBdr>
    </w:div>
    <w:div w:id="1683704044">
      <w:bodyDiv w:val="1"/>
      <w:marLeft w:val="0"/>
      <w:marRight w:val="0"/>
      <w:marTop w:val="0"/>
      <w:marBottom w:val="0"/>
      <w:divBdr>
        <w:top w:val="none" w:sz="0" w:space="0" w:color="auto"/>
        <w:left w:val="none" w:sz="0" w:space="0" w:color="auto"/>
        <w:bottom w:val="none" w:sz="0" w:space="0" w:color="auto"/>
        <w:right w:val="none" w:sz="0" w:space="0" w:color="auto"/>
      </w:divBdr>
    </w:div>
    <w:div w:id="1686904442">
      <w:bodyDiv w:val="1"/>
      <w:marLeft w:val="0"/>
      <w:marRight w:val="0"/>
      <w:marTop w:val="0"/>
      <w:marBottom w:val="0"/>
      <w:divBdr>
        <w:top w:val="none" w:sz="0" w:space="0" w:color="auto"/>
        <w:left w:val="none" w:sz="0" w:space="0" w:color="auto"/>
        <w:bottom w:val="none" w:sz="0" w:space="0" w:color="auto"/>
        <w:right w:val="none" w:sz="0" w:space="0" w:color="auto"/>
      </w:divBdr>
    </w:div>
    <w:div w:id="1700202273">
      <w:bodyDiv w:val="1"/>
      <w:marLeft w:val="0"/>
      <w:marRight w:val="0"/>
      <w:marTop w:val="0"/>
      <w:marBottom w:val="0"/>
      <w:divBdr>
        <w:top w:val="none" w:sz="0" w:space="0" w:color="auto"/>
        <w:left w:val="none" w:sz="0" w:space="0" w:color="auto"/>
        <w:bottom w:val="none" w:sz="0" w:space="0" w:color="auto"/>
        <w:right w:val="none" w:sz="0" w:space="0" w:color="auto"/>
      </w:divBdr>
    </w:div>
    <w:div w:id="1716584949">
      <w:bodyDiv w:val="1"/>
      <w:marLeft w:val="0"/>
      <w:marRight w:val="0"/>
      <w:marTop w:val="0"/>
      <w:marBottom w:val="0"/>
      <w:divBdr>
        <w:top w:val="none" w:sz="0" w:space="0" w:color="auto"/>
        <w:left w:val="none" w:sz="0" w:space="0" w:color="auto"/>
        <w:bottom w:val="none" w:sz="0" w:space="0" w:color="auto"/>
        <w:right w:val="none" w:sz="0" w:space="0" w:color="auto"/>
      </w:divBdr>
    </w:div>
    <w:div w:id="1721634570">
      <w:bodyDiv w:val="1"/>
      <w:marLeft w:val="0"/>
      <w:marRight w:val="0"/>
      <w:marTop w:val="0"/>
      <w:marBottom w:val="0"/>
      <w:divBdr>
        <w:top w:val="none" w:sz="0" w:space="0" w:color="auto"/>
        <w:left w:val="none" w:sz="0" w:space="0" w:color="auto"/>
        <w:bottom w:val="none" w:sz="0" w:space="0" w:color="auto"/>
        <w:right w:val="none" w:sz="0" w:space="0" w:color="auto"/>
      </w:divBdr>
    </w:div>
    <w:div w:id="1744372222">
      <w:bodyDiv w:val="1"/>
      <w:marLeft w:val="0"/>
      <w:marRight w:val="0"/>
      <w:marTop w:val="0"/>
      <w:marBottom w:val="0"/>
      <w:divBdr>
        <w:top w:val="none" w:sz="0" w:space="0" w:color="auto"/>
        <w:left w:val="none" w:sz="0" w:space="0" w:color="auto"/>
        <w:bottom w:val="none" w:sz="0" w:space="0" w:color="auto"/>
        <w:right w:val="none" w:sz="0" w:space="0" w:color="auto"/>
      </w:divBdr>
    </w:div>
    <w:div w:id="1755973622">
      <w:bodyDiv w:val="1"/>
      <w:marLeft w:val="0"/>
      <w:marRight w:val="0"/>
      <w:marTop w:val="0"/>
      <w:marBottom w:val="0"/>
      <w:divBdr>
        <w:top w:val="none" w:sz="0" w:space="0" w:color="auto"/>
        <w:left w:val="none" w:sz="0" w:space="0" w:color="auto"/>
        <w:bottom w:val="none" w:sz="0" w:space="0" w:color="auto"/>
        <w:right w:val="none" w:sz="0" w:space="0" w:color="auto"/>
      </w:divBdr>
    </w:div>
    <w:div w:id="1757553238">
      <w:bodyDiv w:val="1"/>
      <w:marLeft w:val="0"/>
      <w:marRight w:val="0"/>
      <w:marTop w:val="0"/>
      <w:marBottom w:val="0"/>
      <w:divBdr>
        <w:top w:val="none" w:sz="0" w:space="0" w:color="auto"/>
        <w:left w:val="none" w:sz="0" w:space="0" w:color="auto"/>
        <w:bottom w:val="none" w:sz="0" w:space="0" w:color="auto"/>
        <w:right w:val="none" w:sz="0" w:space="0" w:color="auto"/>
      </w:divBdr>
    </w:div>
    <w:div w:id="1762677290">
      <w:bodyDiv w:val="1"/>
      <w:marLeft w:val="0"/>
      <w:marRight w:val="0"/>
      <w:marTop w:val="0"/>
      <w:marBottom w:val="0"/>
      <w:divBdr>
        <w:top w:val="none" w:sz="0" w:space="0" w:color="auto"/>
        <w:left w:val="none" w:sz="0" w:space="0" w:color="auto"/>
        <w:bottom w:val="none" w:sz="0" w:space="0" w:color="auto"/>
        <w:right w:val="none" w:sz="0" w:space="0" w:color="auto"/>
      </w:divBdr>
    </w:div>
    <w:div w:id="1769502952">
      <w:bodyDiv w:val="1"/>
      <w:marLeft w:val="0"/>
      <w:marRight w:val="0"/>
      <w:marTop w:val="0"/>
      <w:marBottom w:val="0"/>
      <w:divBdr>
        <w:top w:val="none" w:sz="0" w:space="0" w:color="auto"/>
        <w:left w:val="none" w:sz="0" w:space="0" w:color="auto"/>
        <w:bottom w:val="none" w:sz="0" w:space="0" w:color="auto"/>
        <w:right w:val="none" w:sz="0" w:space="0" w:color="auto"/>
      </w:divBdr>
    </w:div>
    <w:div w:id="1795557852">
      <w:bodyDiv w:val="1"/>
      <w:marLeft w:val="0"/>
      <w:marRight w:val="0"/>
      <w:marTop w:val="0"/>
      <w:marBottom w:val="0"/>
      <w:divBdr>
        <w:top w:val="none" w:sz="0" w:space="0" w:color="auto"/>
        <w:left w:val="none" w:sz="0" w:space="0" w:color="auto"/>
        <w:bottom w:val="none" w:sz="0" w:space="0" w:color="auto"/>
        <w:right w:val="none" w:sz="0" w:space="0" w:color="auto"/>
      </w:divBdr>
    </w:div>
    <w:div w:id="1803843577">
      <w:bodyDiv w:val="1"/>
      <w:marLeft w:val="0"/>
      <w:marRight w:val="0"/>
      <w:marTop w:val="0"/>
      <w:marBottom w:val="0"/>
      <w:divBdr>
        <w:top w:val="none" w:sz="0" w:space="0" w:color="auto"/>
        <w:left w:val="none" w:sz="0" w:space="0" w:color="auto"/>
        <w:bottom w:val="none" w:sz="0" w:space="0" w:color="auto"/>
        <w:right w:val="none" w:sz="0" w:space="0" w:color="auto"/>
      </w:divBdr>
    </w:div>
    <w:div w:id="1822190437">
      <w:bodyDiv w:val="1"/>
      <w:marLeft w:val="0"/>
      <w:marRight w:val="0"/>
      <w:marTop w:val="0"/>
      <w:marBottom w:val="0"/>
      <w:divBdr>
        <w:top w:val="none" w:sz="0" w:space="0" w:color="auto"/>
        <w:left w:val="none" w:sz="0" w:space="0" w:color="auto"/>
        <w:bottom w:val="none" w:sz="0" w:space="0" w:color="auto"/>
        <w:right w:val="none" w:sz="0" w:space="0" w:color="auto"/>
      </w:divBdr>
    </w:div>
    <w:div w:id="1839687725">
      <w:bodyDiv w:val="1"/>
      <w:marLeft w:val="0"/>
      <w:marRight w:val="0"/>
      <w:marTop w:val="0"/>
      <w:marBottom w:val="0"/>
      <w:divBdr>
        <w:top w:val="none" w:sz="0" w:space="0" w:color="auto"/>
        <w:left w:val="none" w:sz="0" w:space="0" w:color="auto"/>
        <w:bottom w:val="none" w:sz="0" w:space="0" w:color="auto"/>
        <w:right w:val="none" w:sz="0" w:space="0" w:color="auto"/>
      </w:divBdr>
    </w:div>
    <w:div w:id="1861385862">
      <w:bodyDiv w:val="1"/>
      <w:marLeft w:val="0"/>
      <w:marRight w:val="0"/>
      <w:marTop w:val="0"/>
      <w:marBottom w:val="0"/>
      <w:divBdr>
        <w:top w:val="none" w:sz="0" w:space="0" w:color="auto"/>
        <w:left w:val="none" w:sz="0" w:space="0" w:color="auto"/>
        <w:bottom w:val="none" w:sz="0" w:space="0" w:color="auto"/>
        <w:right w:val="none" w:sz="0" w:space="0" w:color="auto"/>
      </w:divBdr>
    </w:div>
    <w:div w:id="1866480989">
      <w:bodyDiv w:val="1"/>
      <w:marLeft w:val="0"/>
      <w:marRight w:val="0"/>
      <w:marTop w:val="0"/>
      <w:marBottom w:val="0"/>
      <w:divBdr>
        <w:top w:val="none" w:sz="0" w:space="0" w:color="auto"/>
        <w:left w:val="none" w:sz="0" w:space="0" w:color="auto"/>
        <w:bottom w:val="none" w:sz="0" w:space="0" w:color="auto"/>
        <w:right w:val="none" w:sz="0" w:space="0" w:color="auto"/>
      </w:divBdr>
    </w:div>
    <w:div w:id="1872498404">
      <w:bodyDiv w:val="1"/>
      <w:marLeft w:val="0"/>
      <w:marRight w:val="0"/>
      <w:marTop w:val="0"/>
      <w:marBottom w:val="0"/>
      <w:divBdr>
        <w:top w:val="none" w:sz="0" w:space="0" w:color="auto"/>
        <w:left w:val="none" w:sz="0" w:space="0" w:color="auto"/>
        <w:bottom w:val="none" w:sz="0" w:space="0" w:color="auto"/>
        <w:right w:val="none" w:sz="0" w:space="0" w:color="auto"/>
      </w:divBdr>
    </w:div>
    <w:div w:id="1876770331">
      <w:bodyDiv w:val="1"/>
      <w:marLeft w:val="0"/>
      <w:marRight w:val="0"/>
      <w:marTop w:val="0"/>
      <w:marBottom w:val="0"/>
      <w:divBdr>
        <w:top w:val="none" w:sz="0" w:space="0" w:color="auto"/>
        <w:left w:val="none" w:sz="0" w:space="0" w:color="auto"/>
        <w:bottom w:val="none" w:sz="0" w:space="0" w:color="auto"/>
        <w:right w:val="none" w:sz="0" w:space="0" w:color="auto"/>
      </w:divBdr>
    </w:div>
    <w:div w:id="1894002843">
      <w:bodyDiv w:val="1"/>
      <w:marLeft w:val="0"/>
      <w:marRight w:val="0"/>
      <w:marTop w:val="0"/>
      <w:marBottom w:val="0"/>
      <w:divBdr>
        <w:top w:val="none" w:sz="0" w:space="0" w:color="auto"/>
        <w:left w:val="none" w:sz="0" w:space="0" w:color="auto"/>
        <w:bottom w:val="none" w:sz="0" w:space="0" w:color="auto"/>
        <w:right w:val="none" w:sz="0" w:space="0" w:color="auto"/>
      </w:divBdr>
    </w:div>
    <w:div w:id="1900749813">
      <w:bodyDiv w:val="1"/>
      <w:marLeft w:val="0"/>
      <w:marRight w:val="0"/>
      <w:marTop w:val="0"/>
      <w:marBottom w:val="0"/>
      <w:divBdr>
        <w:top w:val="none" w:sz="0" w:space="0" w:color="auto"/>
        <w:left w:val="none" w:sz="0" w:space="0" w:color="auto"/>
        <w:bottom w:val="none" w:sz="0" w:space="0" w:color="auto"/>
        <w:right w:val="none" w:sz="0" w:space="0" w:color="auto"/>
      </w:divBdr>
    </w:div>
    <w:div w:id="1935674448">
      <w:bodyDiv w:val="1"/>
      <w:marLeft w:val="0"/>
      <w:marRight w:val="0"/>
      <w:marTop w:val="0"/>
      <w:marBottom w:val="0"/>
      <w:divBdr>
        <w:top w:val="none" w:sz="0" w:space="0" w:color="auto"/>
        <w:left w:val="none" w:sz="0" w:space="0" w:color="auto"/>
        <w:bottom w:val="none" w:sz="0" w:space="0" w:color="auto"/>
        <w:right w:val="none" w:sz="0" w:space="0" w:color="auto"/>
      </w:divBdr>
    </w:div>
    <w:div w:id="1946644677">
      <w:bodyDiv w:val="1"/>
      <w:marLeft w:val="0"/>
      <w:marRight w:val="0"/>
      <w:marTop w:val="0"/>
      <w:marBottom w:val="0"/>
      <w:divBdr>
        <w:top w:val="none" w:sz="0" w:space="0" w:color="auto"/>
        <w:left w:val="none" w:sz="0" w:space="0" w:color="auto"/>
        <w:bottom w:val="none" w:sz="0" w:space="0" w:color="auto"/>
        <w:right w:val="none" w:sz="0" w:space="0" w:color="auto"/>
      </w:divBdr>
    </w:div>
    <w:div w:id="1950509859">
      <w:bodyDiv w:val="1"/>
      <w:marLeft w:val="0"/>
      <w:marRight w:val="0"/>
      <w:marTop w:val="0"/>
      <w:marBottom w:val="0"/>
      <w:divBdr>
        <w:top w:val="none" w:sz="0" w:space="0" w:color="auto"/>
        <w:left w:val="none" w:sz="0" w:space="0" w:color="auto"/>
        <w:bottom w:val="none" w:sz="0" w:space="0" w:color="auto"/>
        <w:right w:val="none" w:sz="0" w:space="0" w:color="auto"/>
      </w:divBdr>
    </w:div>
    <w:div w:id="1962765542">
      <w:bodyDiv w:val="1"/>
      <w:marLeft w:val="0"/>
      <w:marRight w:val="0"/>
      <w:marTop w:val="0"/>
      <w:marBottom w:val="0"/>
      <w:divBdr>
        <w:top w:val="none" w:sz="0" w:space="0" w:color="auto"/>
        <w:left w:val="none" w:sz="0" w:space="0" w:color="auto"/>
        <w:bottom w:val="none" w:sz="0" w:space="0" w:color="auto"/>
        <w:right w:val="none" w:sz="0" w:space="0" w:color="auto"/>
      </w:divBdr>
    </w:div>
    <w:div w:id="1969703512">
      <w:bodyDiv w:val="1"/>
      <w:marLeft w:val="0"/>
      <w:marRight w:val="0"/>
      <w:marTop w:val="0"/>
      <w:marBottom w:val="0"/>
      <w:divBdr>
        <w:top w:val="none" w:sz="0" w:space="0" w:color="auto"/>
        <w:left w:val="none" w:sz="0" w:space="0" w:color="auto"/>
        <w:bottom w:val="none" w:sz="0" w:space="0" w:color="auto"/>
        <w:right w:val="none" w:sz="0" w:space="0" w:color="auto"/>
      </w:divBdr>
    </w:div>
    <w:div w:id="1971285138">
      <w:bodyDiv w:val="1"/>
      <w:marLeft w:val="0"/>
      <w:marRight w:val="0"/>
      <w:marTop w:val="0"/>
      <w:marBottom w:val="0"/>
      <w:divBdr>
        <w:top w:val="none" w:sz="0" w:space="0" w:color="auto"/>
        <w:left w:val="none" w:sz="0" w:space="0" w:color="auto"/>
        <w:bottom w:val="none" w:sz="0" w:space="0" w:color="auto"/>
        <w:right w:val="none" w:sz="0" w:space="0" w:color="auto"/>
      </w:divBdr>
    </w:div>
    <w:div w:id="1983343318">
      <w:bodyDiv w:val="1"/>
      <w:marLeft w:val="0"/>
      <w:marRight w:val="0"/>
      <w:marTop w:val="0"/>
      <w:marBottom w:val="0"/>
      <w:divBdr>
        <w:top w:val="none" w:sz="0" w:space="0" w:color="auto"/>
        <w:left w:val="none" w:sz="0" w:space="0" w:color="auto"/>
        <w:bottom w:val="none" w:sz="0" w:space="0" w:color="auto"/>
        <w:right w:val="none" w:sz="0" w:space="0" w:color="auto"/>
      </w:divBdr>
    </w:div>
    <w:div w:id="1983921050">
      <w:bodyDiv w:val="1"/>
      <w:marLeft w:val="0"/>
      <w:marRight w:val="0"/>
      <w:marTop w:val="0"/>
      <w:marBottom w:val="0"/>
      <w:divBdr>
        <w:top w:val="none" w:sz="0" w:space="0" w:color="auto"/>
        <w:left w:val="none" w:sz="0" w:space="0" w:color="auto"/>
        <w:bottom w:val="none" w:sz="0" w:space="0" w:color="auto"/>
        <w:right w:val="none" w:sz="0" w:space="0" w:color="auto"/>
      </w:divBdr>
    </w:div>
    <w:div w:id="1996374943">
      <w:bodyDiv w:val="1"/>
      <w:marLeft w:val="0"/>
      <w:marRight w:val="0"/>
      <w:marTop w:val="0"/>
      <w:marBottom w:val="0"/>
      <w:divBdr>
        <w:top w:val="none" w:sz="0" w:space="0" w:color="auto"/>
        <w:left w:val="none" w:sz="0" w:space="0" w:color="auto"/>
        <w:bottom w:val="none" w:sz="0" w:space="0" w:color="auto"/>
        <w:right w:val="none" w:sz="0" w:space="0" w:color="auto"/>
      </w:divBdr>
    </w:div>
    <w:div w:id="1997565501">
      <w:bodyDiv w:val="1"/>
      <w:marLeft w:val="0"/>
      <w:marRight w:val="0"/>
      <w:marTop w:val="0"/>
      <w:marBottom w:val="0"/>
      <w:divBdr>
        <w:top w:val="none" w:sz="0" w:space="0" w:color="auto"/>
        <w:left w:val="none" w:sz="0" w:space="0" w:color="auto"/>
        <w:bottom w:val="none" w:sz="0" w:space="0" w:color="auto"/>
        <w:right w:val="none" w:sz="0" w:space="0" w:color="auto"/>
      </w:divBdr>
    </w:div>
    <w:div w:id="1998534278">
      <w:bodyDiv w:val="1"/>
      <w:marLeft w:val="0"/>
      <w:marRight w:val="0"/>
      <w:marTop w:val="0"/>
      <w:marBottom w:val="0"/>
      <w:divBdr>
        <w:top w:val="none" w:sz="0" w:space="0" w:color="auto"/>
        <w:left w:val="none" w:sz="0" w:space="0" w:color="auto"/>
        <w:bottom w:val="none" w:sz="0" w:space="0" w:color="auto"/>
        <w:right w:val="none" w:sz="0" w:space="0" w:color="auto"/>
      </w:divBdr>
    </w:div>
    <w:div w:id="2011717483">
      <w:bodyDiv w:val="1"/>
      <w:marLeft w:val="0"/>
      <w:marRight w:val="0"/>
      <w:marTop w:val="0"/>
      <w:marBottom w:val="0"/>
      <w:divBdr>
        <w:top w:val="none" w:sz="0" w:space="0" w:color="auto"/>
        <w:left w:val="none" w:sz="0" w:space="0" w:color="auto"/>
        <w:bottom w:val="none" w:sz="0" w:space="0" w:color="auto"/>
        <w:right w:val="none" w:sz="0" w:space="0" w:color="auto"/>
      </w:divBdr>
    </w:div>
    <w:div w:id="2026898859">
      <w:bodyDiv w:val="1"/>
      <w:marLeft w:val="0"/>
      <w:marRight w:val="0"/>
      <w:marTop w:val="0"/>
      <w:marBottom w:val="0"/>
      <w:divBdr>
        <w:top w:val="none" w:sz="0" w:space="0" w:color="auto"/>
        <w:left w:val="none" w:sz="0" w:space="0" w:color="auto"/>
        <w:bottom w:val="none" w:sz="0" w:space="0" w:color="auto"/>
        <w:right w:val="none" w:sz="0" w:space="0" w:color="auto"/>
      </w:divBdr>
    </w:div>
    <w:div w:id="2028409495">
      <w:bodyDiv w:val="1"/>
      <w:marLeft w:val="0"/>
      <w:marRight w:val="0"/>
      <w:marTop w:val="0"/>
      <w:marBottom w:val="0"/>
      <w:divBdr>
        <w:top w:val="none" w:sz="0" w:space="0" w:color="auto"/>
        <w:left w:val="none" w:sz="0" w:space="0" w:color="auto"/>
        <w:bottom w:val="none" w:sz="0" w:space="0" w:color="auto"/>
        <w:right w:val="none" w:sz="0" w:space="0" w:color="auto"/>
      </w:divBdr>
    </w:div>
    <w:div w:id="2030058049">
      <w:bodyDiv w:val="1"/>
      <w:marLeft w:val="0"/>
      <w:marRight w:val="0"/>
      <w:marTop w:val="0"/>
      <w:marBottom w:val="0"/>
      <w:divBdr>
        <w:top w:val="none" w:sz="0" w:space="0" w:color="auto"/>
        <w:left w:val="none" w:sz="0" w:space="0" w:color="auto"/>
        <w:bottom w:val="none" w:sz="0" w:space="0" w:color="auto"/>
        <w:right w:val="none" w:sz="0" w:space="0" w:color="auto"/>
      </w:divBdr>
    </w:div>
    <w:div w:id="2031682743">
      <w:bodyDiv w:val="1"/>
      <w:marLeft w:val="0"/>
      <w:marRight w:val="0"/>
      <w:marTop w:val="0"/>
      <w:marBottom w:val="0"/>
      <w:divBdr>
        <w:top w:val="none" w:sz="0" w:space="0" w:color="auto"/>
        <w:left w:val="none" w:sz="0" w:space="0" w:color="auto"/>
        <w:bottom w:val="none" w:sz="0" w:space="0" w:color="auto"/>
        <w:right w:val="none" w:sz="0" w:space="0" w:color="auto"/>
      </w:divBdr>
    </w:div>
    <w:div w:id="2033728905">
      <w:bodyDiv w:val="1"/>
      <w:marLeft w:val="0"/>
      <w:marRight w:val="0"/>
      <w:marTop w:val="0"/>
      <w:marBottom w:val="0"/>
      <w:divBdr>
        <w:top w:val="none" w:sz="0" w:space="0" w:color="auto"/>
        <w:left w:val="none" w:sz="0" w:space="0" w:color="auto"/>
        <w:bottom w:val="none" w:sz="0" w:space="0" w:color="auto"/>
        <w:right w:val="none" w:sz="0" w:space="0" w:color="auto"/>
      </w:divBdr>
    </w:div>
    <w:div w:id="2038697923">
      <w:bodyDiv w:val="1"/>
      <w:marLeft w:val="0"/>
      <w:marRight w:val="0"/>
      <w:marTop w:val="0"/>
      <w:marBottom w:val="0"/>
      <w:divBdr>
        <w:top w:val="none" w:sz="0" w:space="0" w:color="auto"/>
        <w:left w:val="none" w:sz="0" w:space="0" w:color="auto"/>
        <w:bottom w:val="none" w:sz="0" w:space="0" w:color="auto"/>
        <w:right w:val="none" w:sz="0" w:space="0" w:color="auto"/>
      </w:divBdr>
    </w:div>
    <w:div w:id="2040622205">
      <w:bodyDiv w:val="1"/>
      <w:marLeft w:val="0"/>
      <w:marRight w:val="0"/>
      <w:marTop w:val="0"/>
      <w:marBottom w:val="0"/>
      <w:divBdr>
        <w:top w:val="none" w:sz="0" w:space="0" w:color="auto"/>
        <w:left w:val="none" w:sz="0" w:space="0" w:color="auto"/>
        <w:bottom w:val="none" w:sz="0" w:space="0" w:color="auto"/>
        <w:right w:val="none" w:sz="0" w:space="0" w:color="auto"/>
      </w:divBdr>
    </w:div>
    <w:div w:id="2060781715">
      <w:bodyDiv w:val="1"/>
      <w:marLeft w:val="0"/>
      <w:marRight w:val="0"/>
      <w:marTop w:val="0"/>
      <w:marBottom w:val="0"/>
      <w:divBdr>
        <w:top w:val="none" w:sz="0" w:space="0" w:color="auto"/>
        <w:left w:val="none" w:sz="0" w:space="0" w:color="auto"/>
        <w:bottom w:val="none" w:sz="0" w:space="0" w:color="auto"/>
        <w:right w:val="none" w:sz="0" w:space="0" w:color="auto"/>
      </w:divBdr>
    </w:div>
    <w:div w:id="2063096899">
      <w:bodyDiv w:val="1"/>
      <w:marLeft w:val="0"/>
      <w:marRight w:val="0"/>
      <w:marTop w:val="0"/>
      <w:marBottom w:val="0"/>
      <w:divBdr>
        <w:top w:val="none" w:sz="0" w:space="0" w:color="auto"/>
        <w:left w:val="none" w:sz="0" w:space="0" w:color="auto"/>
        <w:bottom w:val="none" w:sz="0" w:space="0" w:color="auto"/>
        <w:right w:val="none" w:sz="0" w:space="0" w:color="auto"/>
      </w:divBdr>
    </w:div>
    <w:div w:id="2072994464">
      <w:bodyDiv w:val="1"/>
      <w:marLeft w:val="0"/>
      <w:marRight w:val="0"/>
      <w:marTop w:val="0"/>
      <w:marBottom w:val="0"/>
      <w:divBdr>
        <w:top w:val="none" w:sz="0" w:space="0" w:color="auto"/>
        <w:left w:val="none" w:sz="0" w:space="0" w:color="auto"/>
        <w:bottom w:val="none" w:sz="0" w:space="0" w:color="auto"/>
        <w:right w:val="none" w:sz="0" w:space="0" w:color="auto"/>
      </w:divBdr>
    </w:div>
    <w:div w:id="2076320131">
      <w:bodyDiv w:val="1"/>
      <w:marLeft w:val="0"/>
      <w:marRight w:val="0"/>
      <w:marTop w:val="0"/>
      <w:marBottom w:val="0"/>
      <w:divBdr>
        <w:top w:val="none" w:sz="0" w:space="0" w:color="auto"/>
        <w:left w:val="none" w:sz="0" w:space="0" w:color="auto"/>
        <w:bottom w:val="none" w:sz="0" w:space="0" w:color="auto"/>
        <w:right w:val="none" w:sz="0" w:space="0" w:color="auto"/>
      </w:divBdr>
    </w:div>
    <w:div w:id="2087073820">
      <w:bodyDiv w:val="1"/>
      <w:marLeft w:val="0"/>
      <w:marRight w:val="0"/>
      <w:marTop w:val="0"/>
      <w:marBottom w:val="0"/>
      <w:divBdr>
        <w:top w:val="none" w:sz="0" w:space="0" w:color="auto"/>
        <w:left w:val="none" w:sz="0" w:space="0" w:color="auto"/>
        <w:bottom w:val="none" w:sz="0" w:space="0" w:color="auto"/>
        <w:right w:val="none" w:sz="0" w:space="0" w:color="auto"/>
      </w:divBdr>
    </w:div>
    <w:div w:id="2091609610">
      <w:bodyDiv w:val="1"/>
      <w:marLeft w:val="0"/>
      <w:marRight w:val="0"/>
      <w:marTop w:val="0"/>
      <w:marBottom w:val="0"/>
      <w:divBdr>
        <w:top w:val="none" w:sz="0" w:space="0" w:color="auto"/>
        <w:left w:val="none" w:sz="0" w:space="0" w:color="auto"/>
        <w:bottom w:val="none" w:sz="0" w:space="0" w:color="auto"/>
        <w:right w:val="none" w:sz="0" w:space="0" w:color="auto"/>
      </w:divBdr>
    </w:div>
    <w:div w:id="2111928274">
      <w:bodyDiv w:val="1"/>
      <w:marLeft w:val="0"/>
      <w:marRight w:val="0"/>
      <w:marTop w:val="0"/>
      <w:marBottom w:val="0"/>
      <w:divBdr>
        <w:top w:val="none" w:sz="0" w:space="0" w:color="auto"/>
        <w:left w:val="none" w:sz="0" w:space="0" w:color="auto"/>
        <w:bottom w:val="none" w:sz="0" w:space="0" w:color="auto"/>
        <w:right w:val="none" w:sz="0" w:space="0" w:color="auto"/>
      </w:divBdr>
    </w:div>
    <w:div w:id="2112817391">
      <w:bodyDiv w:val="1"/>
      <w:marLeft w:val="0"/>
      <w:marRight w:val="0"/>
      <w:marTop w:val="0"/>
      <w:marBottom w:val="0"/>
      <w:divBdr>
        <w:top w:val="none" w:sz="0" w:space="0" w:color="auto"/>
        <w:left w:val="none" w:sz="0" w:space="0" w:color="auto"/>
        <w:bottom w:val="none" w:sz="0" w:space="0" w:color="auto"/>
        <w:right w:val="none" w:sz="0" w:space="0" w:color="auto"/>
      </w:divBdr>
    </w:div>
    <w:div w:id="2118601850">
      <w:bodyDiv w:val="1"/>
      <w:marLeft w:val="0"/>
      <w:marRight w:val="0"/>
      <w:marTop w:val="0"/>
      <w:marBottom w:val="0"/>
      <w:divBdr>
        <w:top w:val="none" w:sz="0" w:space="0" w:color="auto"/>
        <w:left w:val="none" w:sz="0" w:space="0" w:color="auto"/>
        <w:bottom w:val="none" w:sz="0" w:space="0" w:color="auto"/>
        <w:right w:val="none" w:sz="0" w:space="0" w:color="auto"/>
      </w:divBdr>
    </w:div>
    <w:div w:id="2119371219">
      <w:bodyDiv w:val="1"/>
      <w:marLeft w:val="0"/>
      <w:marRight w:val="0"/>
      <w:marTop w:val="0"/>
      <w:marBottom w:val="0"/>
      <w:divBdr>
        <w:top w:val="none" w:sz="0" w:space="0" w:color="auto"/>
        <w:left w:val="none" w:sz="0" w:space="0" w:color="auto"/>
        <w:bottom w:val="none" w:sz="0" w:space="0" w:color="auto"/>
        <w:right w:val="none" w:sz="0" w:space="0" w:color="auto"/>
      </w:divBdr>
    </w:div>
    <w:div w:id="2119830156">
      <w:bodyDiv w:val="1"/>
      <w:marLeft w:val="0"/>
      <w:marRight w:val="0"/>
      <w:marTop w:val="0"/>
      <w:marBottom w:val="0"/>
      <w:divBdr>
        <w:top w:val="none" w:sz="0" w:space="0" w:color="auto"/>
        <w:left w:val="none" w:sz="0" w:space="0" w:color="auto"/>
        <w:bottom w:val="none" w:sz="0" w:space="0" w:color="auto"/>
        <w:right w:val="none" w:sz="0" w:space="0" w:color="auto"/>
      </w:divBdr>
    </w:div>
    <w:div w:id="2120444499">
      <w:bodyDiv w:val="1"/>
      <w:marLeft w:val="0"/>
      <w:marRight w:val="0"/>
      <w:marTop w:val="0"/>
      <w:marBottom w:val="0"/>
      <w:divBdr>
        <w:top w:val="none" w:sz="0" w:space="0" w:color="auto"/>
        <w:left w:val="none" w:sz="0" w:space="0" w:color="auto"/>
        <w:bottom w:val="none" w:sz="0" w:space="0" w:color="auto"/>
        <w:right w:val="none" w:sz="0" w:space="0" w:color="auto"/>
      </w:divBdr>
    </w:div>
    <w:div w:id="2123525019">
      <w:bodyDiv w:val="1"/>
      <w:marLeft w:val="0"/>
      <w:marRight w:val="0"/>
      <w:marTop w:val="0"/>
      <w:marBottom w:val="0"/>
      <w:divBdr>
        <w:top w:val="none" w:sz="0" w:space="0" w:color="auto"/>
        <w:left w:val="none" w:sz="0" w:space="0" w:color="auto"/>
        <w:bottom w:val="none" w:sz="0" w:space="0" w:color="auto"/>
        <w:right w:val="none" w:sz="0" w:space="0" w:color="auto"/>
      </w:divBdr>
    </w:div>
    <w:div w:id="2127771858">
      <w:bodyDiv w:val="1"/>
      <w:marLeft w:val="0"/>
      <w:marRight w:val="0"/>
      <w:marTop w:val="0"/>
      <w:marBottom w:val="0"/>
      <w:divBdr>
        <w:top w:val="none" w:sz="0" w:space="0" w:color="auto"/>
        <w:left w:val="none" w:sz="0" w:space="0" w:color="auto"/>
        <w:bottom w:val="none" w:sz="0" w:space="0" w:color="auto"/>
        <w:right w:val="none" w:sz="0" w:space="0" w:color="auto"/>
      </w:divBdr>
    </w:div>
    <w:div w:id="2129083077">
      <w:bodyDiv w:val="1"/>
      <w:marLeft w:val="0"/>
      <w:marRight w:val="0"/>
      <w:marTop w:val="0"/>
      <w:marBottom w:val="0"/>
      <w:divBdr>
        <w:top w:val="none" w:sz="0" w:space="0" w:color="auto"/>
        <w:left w:val="none" w:sz="0" w:space="0" w:color="auto"/>
        <w:bottom w:val="none" w:sz="0" w:space="0" w:color="auto"/>
        <w:right w:val="none" w:sz="0" w:space="0" w:color="auto"/>
      </w:divBdr>
    </w:div>
    <w:div w:id="2132362263">
      <w:bodyDiv w:val="1"/>
      <w:marLeft w:val="0"/>
      <w:marRight w:val="0"/>
      <w:marTop w:val="0"/>
      <w:marBottom w:val="0"/>
      <w:divBdr>
        <w:top w:val="none" w:sz="0" w:space="0" w:color="auto"/>
        <w:left w:val="none" w:sz="0" w:space="0" w:color="auto"/>
        <w:bottom w:val="none" w:sz="0" w:space="0" w:color="auto"/>
        <w:right w:val="none" w:sz="0" w:space="0" w:color="auto"/>
      </w:divBdr>
    </w:div>
    <w:div w:id="214410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old2018.agenziacoesione.gov.it/opencms/export/sites/dps/it/documentazione/Aree_interne/Nota_metodologica_Aree_intern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F:\FocusCensimentoPopolazione\Revisioni\17_Basilicata_Prospetti&amp;Grafici.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FocusCensimentoPopolazione\Revisioni\17_Basilicata_Prospetti&amp;Grafici.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FocusCensimentoPopolazione\Revisioni\17_Basilicata_Prospetti&amp;Grafici.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FocusCensimentoPopolazione\Revisioni\17_Basilicata_Prospetti&amp;Grafici.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FocusCensimentoPopolazione\Revisioni\17_Basilicata_Prospetti&amp;Grafici.xlsx"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Foglio_di_lavoro_di_Microsoft_Office_Excel5.xlsx"/></Relationships>
</file>

<file path=word/charts/_rels/chart2.xml.rels><?xml version="1.0" encoding="UTF-8" standalone="yes"?>
<Relationships xmlns="http://schemas.openxmlformats.org/package/2006/relationships"><Relationship Id="rId1" Type="http://schemas.openxmlformats.org/officeDocument/2006/relationships/oleObject" Target="file:///F:\FocusCensimentoPopolazione\Revisioni\17_Basilicata_Prospetti&amp;Grafic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FocusCensimentoPopolazione\Revisioni\17_Basilicata_Prospetti&amp;Grafic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FocusCensimentoPopolazione\Revisioni\17_Basilicata_Prospetti&amp;Grafici.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Foglio_di_lavoro_di_Microsoft_Office_Excel1.xlsx"/></Relationships>
</file>

<file path=word/charts/_rels/chart6.xml.rels><?xml version="1.0" encoding="UTF-8" standalone="yes"?>
<Relationships xmlns="http://schemas.openxmlformats.org/package/2006/relationships"><Relationship Id="rId2" Type="http://schemas.openxmlformats.org/officeDocument/2006/relationships/package" Target="../embeddings/Foglio_di_lavoro_di_Microsoft_Office_Excel2.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Foglio_di_lavoro_di_Microsoft_Office_Excel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Foglio_di_lavoro_di_Microsoft_Office_Excel4.xlsx"/></Relationships>
</file>

<file path=word/charts/_rels/chart9.xml.rels><?xml version="1.0" encoding="UTF-8" standalone="yes"?>
<Relationships xmlns="http://schemas.openxmlformats.org/package/2006/relationships"><Relationship Id="rId1" Type="http://schemas.openxmlformats.org/officeDocument/2006/relationships/oleObject" Target="file:///F:\FocusCensimentoPopolazione\Revisioni\17_Basilicata_Prospetti&amp;Grafic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6.2189215686274488E-2"/>
          <c:y val="0.13591706349206362"/>
          <c:w val="0.84961977124183041"/>
          <c:h val="0.76088650793650803"/>
        </c:manualLayout>
      </c:layout>
      <c:barChart>
        <c:barDir val="col"/>
        <c:grouping val="clustered"/>
        <c:ser>
          <c:idx val="1"/>
          <c:order val="1"/>
          <c:tx>
            <c:strRef>
              <c:f>'Fig. 1'!$E$1</c:f>
              <c:strCache>
                <c:ptCount val="1"/>
                <c:pt idx="0">
                  <c:v>variazioni Italia</c:v>
                </c:pt>
              </c:strCache>
            </c:strRef>
          </c:tx>
          <c:spPr>
            <a:solidFill>
              <a:srgbClr val="C9321F"/>
            </a:solidFill>
            <a:ln>
              <a:noFill/>
            </a:ln>
            <a:effectLst/>
          </c:spPr>
          <c:cat>
            <c:strRef>
              <c:f>'Fig. 1'!$B$3:$J$3</c:f>
              <c:strCache>
                <c:ptCount val="9"/>
                <c:pt idx="0">
                  <c:v>1951</c:v>
                </c:pt>
                <c:pt idx="1">
                  <c:v>1961</c:v>
                </c:pt>
                <c:pt idx="2">
                  <c:v>1971</c:v>
                </c:pt>
                <c:pt idx="3">
                  <c:v>1981</c:v>
                </c:pt>
                <c:pt idx="4">
                  <c:v>1991</c:v>
                </c:pt>
                <c:pt idx="5">
                  <c:v>2001</c:v>
                </c:pt>
                <c:pt idx="6">
                  <c:v>2011</c:v>
                </c:pt>
                <c:pt idx="7">
                  <c:v>2018</c:v>
                </c:pt>
                <c:pt idx="8">
                  <c:v>2019</c:v>
                </c:pt>
              </c:strCache>
            </c:strRef>
          </c:cat>
          <c:val>
            <c:numRef>
              <c:f>'Fig. 1'!$B$6:$J$6</c:f>
              <c:numCache>
                <c:formatCode>0.0</c:formatCode>
                <c:ptCount val="9"/>
                <c:pt idx="1">
                  <c:v>6.3561658366000344</c:v>
                </c:pt>
                <c:pt idx="2">
                  <c:v>6.7317817355705429</c:v>
                </c:pt>
                <c:pt idx="3">
                  <c:v>4.3833692276891174</c:v>
                </c:pt>
                <c:pt idx="4">
                  <c:v>0.39028286172926346</c:v>
                </c:pt>
                <c:pt idx="5">
                  <c:v>0.38278580780337645</c:v>
                </c:pt>
                <c:pt idx="6">
                  <c:v>4.197339005577172</c:v>
                </c:pt>
                <c:pt idx="7">
                  <c:v>0.91789085059046394</c:v>
                </c:pt>
                <c:pt idx="8">
                  <c:v>-2.9286984918068129</c:v>
                </c:pt>
              </c:numCache>
            </c:numRef>
          </c:val>
          <c:extLst xmlns:c16r2="http://schemas.microsoft.com/office/drawing/2015/06/chart">
            <c:ext xmlns:c16="http://schemas.microsoft.com/office/drawing/2014/chart" uri="{C3380CC4-5D6E-409C-BE32-E72D297353CC}">
              <c16:uniqueId val="{00000000-C52F-4A8C-996C-52584E1E7BCC}"/>
            </c:ext>
          </c:extLst>
        </c:ser>
        <c:ser>
          <c:idx val="2"/>
          <c:order val="2"/>
          <c:tx>
            <c:strRef>
              <c:f>'Fig. 1'!$D$1</c:f>
              <c:strCache>
                <c:ptCount val="1"/>
                <c:pt idx="0">
                  <c:v>variazioni Basilicata</c:v>
                </c:pt>
              </c:strCache>
            </c:strRef>
          </c:tx>
          <c:spPr>
            <a:solidFill>
              <a:srgbClr val="A5A5A5"/>
            </a:solidFill>
            <a:ln>
              <a:noFill/>
            </a:ln>
            <a:effectLst/>
          </c:spPr>
          <c:cat>
            <c:strRef>
              <c:f>'Fig. 1'!$B$3:$J$3</c:f>
              <c:strCache>
                <c:ptCount val="9"/>
                <c:pt idx="0">
                  <c:v>1951</c:v>
                </c:pt>
                <c:pt idx="1">
                  <c:v>1961</c:v>
                </c:pt>
                <c:pt idx="2">
                  <c:v>1971</c:v>
                </c:pt>
                <c:pt idx="3">
                  <c:v>1981</c:v>
                </c:pt>
                <c:pt idx="4">
                  <c:v>1991</c:v>
                </c:pt>
                <c:pt idx="5">
                  <c:v>2001</c:v>
                </c:pt>
                <c:pt idx="6">
                  <c:v>2011</c:v>
                </c:pt>
                <c:pt idx="7">
                  <c:v>2018</c:v>
                </c:pt>
                <c:pt idx="8">
                  <c:v>2019</c:v>
                </c:pt>
              </c:strCache>
            </c:strRef>
          </c:cat>
          <c:val>
            <c:numRef>
              <c:f>'Fig. 1'!$B$7:$J$7</c:f>
              <c:numCache>
                <c:formatCode>0.0</c:formatCode>
                <c:ptCount val="9"/>
                <c:pt idx="1">
                  <c:v>2.6313646295759172</c:v>
                </c:pt>
                <c:pt idx="2">
                  <c:v>-6.5918252526265801</c:v>
                </c:pt>
                <c:pt idx="3">
                  <c:v>1.1747396307097979</c:v>
                </c:pt>
                <c:pt idx="4">
                  <c:v>5.6034352146960842E-2</c:v>
                </c:pt>
                <c:pt idx="5">
                  <c:v>-2.1099147675818233</c:v>
                </c:pt>
                <c:pt idx="6">
                  <c:v>-3.3510295593532904</c:v>
                </c:pt>
                <c:pt idx="7">
                  <c:v>-4.8774620332574505</c:v>
                </c:pt>
                <c:pt idx="8">
                  <c:v>-9.5473041800113307</c:v>
                </c:pt>
              </c:numCache>
            </c:numRef>
          </c:val>
          <c:extLst xmlns:c16r2="http://schemas.microsoft.com/office/drawing/2015/06/chart">
            <c:ext xmlns:c16="http://schemas.microsoft.com/office/drawing/2014/chart" uri="{C3380CC4-5D6E-409C-BE32-E72D297353CC}">
              <c16:uniqueId val="{00000001-C52F-4A8C-996C-52584E1E7BCC}"/>
            </c:ext>
          </c:extLst>
        </c:ser>
        <c:gapWidth val="60"/>
        <c:axId val="157124096"/>
        <c:axId val="157125632"/>
      </c:barChart>
      <c:lineChart>
        <c:grouping val="standard"/>
        <c:ser>
          <c:idx val="0"/>
          <c:order val="0"/>
          <c:tx>
            <c:strRef>
              <c:f>'Fig. 1'!$C$1</c:f>
              <c:strCache>
                <c:ptCount val="1"/>
                <c:pt idx="0">
                  <c:v>popolazione Basilicata</c:v>
                </c:pt>
              </c:strCache>
            </c:strRef>
          </c:tx>
          <c:spPr>
            <a:ln w="25400" cap="rnd">
              <a:solidFill>
                <a:schemeClr val="tx1">
                  <a:lumMod val="95000"/>
                  <a:lumOff val="5000"/>
                </a:schemeClr>
              </a:solidFill>
              <a:prstDash val="sysDot"/>
              <a:round/>
            </a:ln>
            <a:effectLst/>
          </c:spPr>
          <c:marker>
            <c:symbol val="none"/>
          </c:marker>
          <c:cat>
            <c:strRef>
              <c:f>'Fig. 1'!$B$3:$J$3</c:f>
              <c:strCache>
                <c:ptCount val="9"/>
                <c:pt idx="0">
                  <c:v>1951</c:v>
                </c:pt>
                <c:pt idx="1">
                  <c:v>1961</c:v>
                </c:pt>
                <c:pt idx="2">
                  <c:v>1971</c:v>
                </c:pt>
                <c:pt idx="3">
                  <c:v>1981</c:v>
                </c:pt>
                <c:pt idx="4">
                  <c:v>1991</c:v>
                </c:pt>
                <c:pt idx="5">
                  <c:v>2001</c:v>
                </c:pt>
                <c:pt idx="6">
                  <c:v>2011</c:v>
                </c:pt>
                <c:pt idx="7">
                  <c:v>2018</c:v>
                </c:pt>
                <c:pt idx="8">
                  <c:v>2019</c:v>
                </c:pt>
              </c:strCache>
            </c:strRef>
          </c:cat>
          <c:val>
            <c:numRef>
              <c:f>'Fig. 1'!$B$5:$J$5</c:f>
              <c:numCache>
                <c:formatCode>General</c:formatCode>
                <c:ptCount val="9"/>
                <c:pt idx="0">
                  <c:v>627586</c:v>
                </c:pt>
                <c:pt idx="1">
                  <c:v>644297</c:v>
                </c:pt>
                <c:pt idx="2">
                  <c:v>603064</c:v>
                </c:pt>
                <c:pt idx="3">
                  <c:v>610186</c:v>
                </c:pt>
                <c:pt idx="4">
                  <c:v>610528</c:v>
                </c:pt>
                <c:pt idx="5">
                  <c:v>597768</c:v>
                </c:pt>
                <c:pt idx="6">
                  <c:v>578036</c:v>
                </c:pt>
                <c:pt idx="7">
                  <c:v>558587</c:v>
                </c:pt>
                <c:pt idx="8">
                  <c:v>553254</c:v>
                </c:pt>
              </c:numCache>
            </c:numRef>
          </c:val>
          <c:extLst xmlns:c16r2="http://schemas.microsoft.com/office/drawing/2015/06/chart">
            <c:ext xmlns:c16="http://schemas.microsoft.com/office/drawing/2014/chart" uri="{C3380CC4-5D6E-409C-BE32-E72D297353CC}">
              <c16:uniqueId val="{00000002-C52F-4A8C-996C-52584E1E7BCC}"/>
            </c:ext>
          </c:extLst>
        </c:ser>
        <c:marker val="1"/>
        <c:axId val="157142400"/>
        <c:axId val="157140096"/>
      </c:lineChart>
      <c:catAx>
        <c:axId val="157124096"/>
        <c:scaling>
          <c:orientation val="minMax"/>
        </c:scaling>
        <c:axPos val="b"/>
        <c:majorGridlines>
          <c:spPr>
            <a:ln w="6350" cap="flat" cmpd="sng" algn="ctr">
              <a:solidFill>
                <a:schemeClr val="bg1">
                  <a:lumMod val="85000"/>
                </a:schemeClr>
              </a:solidFill>
              <a:round/>
            </a:ln>
            <a:effectLst/>
          </c:spPr>
        </c:majorGridlines>
        <c:numFmt formatCode="General" sourceLinked="1"/>
        <c:majorTickMark val="none"/>
        <c:tickLblPos val="low"/>
        <c:spPr>
          <a:noFill/>
          <a:ln w="9525" cap="flat" cmpd="sng" algn="ctr">
            <a:solidFill>
              <a:schemeClr val="bg1">
                <a:lumMod val="6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157125632"/>
        <c:crosses val="autoZero"/>
        <c:auto val="1"/>
        <c:lblAlgn val="ctr"/>
        <c:lblOffset val="100"/>
      </c:catAx>
      <c:valAx>
        <c:axId val="157125632"/>
        <c:scaling>
          <c:orientation val="minMax"/>
        </c:scaling>
        <c:axPos val="l"/>
        <c:majorGridlines>
          <c:spPr>
            <a:ln w="6350" cap="flat" cmpd="sng" algn="ctr">
              <a:solidFill>
                <a:schemeClr val="bg1">
                  <a:lumMod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r>
                  <a:rPr lang="en-US"/>
                  <a:t>Variazione ‰</a:t>
                </a:r>
              </a:p>
            </c:rich>
          </c:tx>
          <c:spPr>
            <a:noFill/>
            <a:ln>
              <a:noFill/>
            </a:ln>
            <a:effectLst/>
          </c:spPr>
        </c:title>
        <c:numFmt formatCode="#,##0" sourceLinked="0"/>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157124096"/>
        <c:crosses val="autoZero"/>
        <c:crossBetween val="between"/>
      </c:valAx>
      <c:valAx>
        <c:axId val="157140096"/>
        <c:scaling>
          <c:orientation val="minMax"/>
        </c:scaling>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r>
                  <a:rPr lang="en-US"/>
                  <a:t>Popolazione</a:t>
                </a:r>
              </a:p>
            </c:rich>
          </c:tx>
          <c:layout>
            <c:manualLayout>
              <c:xMode val="edge"/>
              <c:yMode val="edge"/>
              <c:x val="0.95567450980392155"/>
              <c:y val="0.39255000000000012"/>
            </c:manualLayout>
          </c:layout>
          <c:spPr>
            <a:noFill/>
            <a:ln>
              <a:noFill/>
            </a:ln>
            <a:effectLst/>
          </c:spPr>
        </c:title>
        <c:numFmt formatCode="General" sourceLinked="1"/>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157142400"/>
        <c:crosses val="max"/>
        <c:crossBetween val="between"/>
        <c:dispUnits>
          <c:builtInUnit val="millions"/>
          <c:dispUnitsLbl>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dispUnitsLbl>
        </c:dispUnits>
      </c:valAx>
      <c:catAx>
        <c:axId val="157142400"/>
        <c:scaling>
          <c:orientation val="minMax"/>
        </c:scaling>
        <c:delete val="1"/>
        <c:axPos val="b"/>
        <c:numFmt formatCode="General" sourceLinked="1"/>
        <c:tickLblPos val="nextTo"/>
        <c:crossAx val="157140096"/>
        <c:crosses val="autoZero"/>
        <c:auto val="1"/>
        <c:lblAlgn val="ctr"/>
        <c:lblOffset val="100"/>
      </c:catAx>
      <c:spPr>
        <a:noFill/>
        <a:ln>
          <a:noFill/>
        </a:ln>
        <a:effectLst/>
      </c:spPr>
    </c:plotArea>
    <c:legend>
      <c:legendPos val="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6350" cap="flat" cmpd="sng" algn="ctr">
      <a:solidFill>
        <a:schemeClr val="bg1">
          <a:lumMod val="85000"/>
        </a:schemeClr>
      </a:solidFill>
      <a:round/>
    </a:ln>
    <a:effectLst/>
  </c:spPr>
  <c:txPr>
    <a:bodyPr/>
    <a:lstStyle/>
    <a:p>
      <a:pPr>
        <a:defRPr sz="800">
          <a:solidFill>
            <a:schemeClr val="tx1">
              <a:lumMod val="65000"/>
              <a:lumOff val="35000"/>
            </a:schemeClr>
          </a:solidFill>
          <a:latin typeface="Arial Narrow" panose="020B0606020202030204" pitchFamily="34" charset="0"/>
        </a:defRPr>
      </a:pPr>
      <a:endParaRPr lang="it-IT"/>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4.3139215686274476E-2"/>
          <c:y val="0.11741249999999998"/>
          <c:w val="0.93403398692810469"/>
          <c:h val="0.7434939814814816"/>
        </c:manualLayout>
      </c:layout>
      <c:barChart>
        <c:barDir val="col"/>
        <c:grouping val="clustered"/>
        <c:ser>
          <c:idx val="0"/>
          <c:order val="0"/>
          <c:tx>
            <c:strRef>
              <c:f>'Fig. 8'!$C$3</c:f>
              <c:strCache>
                <c:ptCount val="1"/>
                <c:pt idx="0">
                  <c:v>Basilicata</c:v>
                </c:pt>
              </c:strCache>
            </c:strRef>
          </c:tx>
          <c:spPr>
            <a:solidFill>
              <a:srgbClr val="A5A5A5"/>
            </a:solidFill>
            <a:ln>
              <a:noFill/>
            </a:ln>
            <a:effectLst/>
          </c:spPr>
          <c:cat>
            <c:strRef>
              <c:f>'Fig. 8'!$D$5:$D$14</c:f>
              <c:strCache>
                <c:ptCount val="10"/>
                <c:pt idx="0">
                  <c:v>  Romania</c:v>
                </c:pt>
                <c:pt idx="1">
                  <c:v>  Albania</c:v>
                </c:pt>
                <c:pt idx="2">
                  <c:v>  Marocco</c:v>
                </c:pt>
                <c:pt idx="3">
                  <c:v>  Nigeria</c:v>
                </c:pt>
                <c:pt idx="4">
                  <c:v>  India</c:v>
                </c:pt>
                <c:pt idx="5">
                  <c:v>  Cina</c:v>
                </c:pt>
                <c:pt idx="6">
                  <c:v>  Ucraina</c:v>
                </c:pt>
                <c:pt idx="7">
                  <c:v>  Bulgaria</c:v>
                </c:pt>
                <c:pt idx="8">
                  <c:v>  Tunisia</c:v>
                </c:pt>
                <c:pt idx="9">
                  <c:v>  Polonia</c:v>
                </c:pt>
              </c:strCache>
            </c:strRef>
          </c:cat>
          <c:val>
            <c:numRef>
              <c:f>'Fig. 8'!$G$5:$G$14</c:f>
              <c:numCache>
                <c:formatCode>General</c:formatCode>
                <c:ptCount val="10"/>
                <c:pt idx="0">
                  <c:v>38.083211484779994</c:v>
                </c:pt>
                <c:pt idx="1">
                  <c:v>9.1142717887367546</c:v>
                </c:pt>
                <c:pt idx="2">
                  <c:v>7.7805839868846682</c:v>
                </c:pt>
                <c:pt idx="3">
                  <c:v>4.4219947715893477</c:v>
                </c:pt>
                <c:pt idx="4">
                  <c:v>4.3732553502592051</c:v>
                </c:pt>
                <c:pt idx="5">
                  <c:v>4.200451947361425</c:v>
                </c:pt>
                <c:pt idx="6">
                  <c:v>3.2788337985732641</c:v>
                </c:pt>
                <c:pt idx="7">
                  <c:v>2.7604235898799248</c:v>
                </c:pt>
                <c:pt idx="8">
                  <c:v>2.3660773627542198</c:v>
                </c:pt>
                <c:pt idx="9">
                  <c:v>1.6837254641322172</c:v>
                </c:pt>
              </c:numCache>
            </c:numRef>
          </c:val>
          <c:extLst xmlns:c16r2="http://schemas.microsoft.com/office/drawing/2015/06/chart">
            <c:ext xmlns:c16="http://schemas.microsoft.com/office/drawing/2014/chart" uri="{C3380CC4-5D6E-409C-BE32-E72D297353CC}">
              <c16:uniqueId val="{00000000-ABD5-44C8-8126-16A015C48F62}"/>
            </c:ext>
          </c:extLst>
        </c:ser>
        <c:gapWidth val="75"/>
        <c:overlap val="-25"/>
        <c:axId val="243802112"/>
        <c:axId val="243803648"/>
      </c:barChart>
      <c:lineChart>
        <c:grouping val="standard"/>
        <c:ser>
          <c:idx val="1"/>
          <c:order val="1"/>
          <c:tx>
            <c:strRef>
              <c:f>'Fig. 8'!$I$3</c:f>
              <c:strCache>
                <c:ptCount val="1"/>
                <c:pt idx="0">
                  <c:v>Italia</c:v>
                </c:pt>
              </c:strCache>
            </c:strRef>
          </c:tx>
          <c:spPr>
            <a:ln w="25400" cap="rnd">
              <a:noFill/>
              <a:round/>
            </a:ln>
            <a:effectLst/>
          </c:spPr>
          <c:marker>
            <c:symbol val="circle"/>
            <c:size val="7"/>
            <c:spPr>
              <a:solidFill>
                <a:srgbClr val="C00000"/>
              </a:solidFill>
              <a:ln w="12700">
                <a:noFill/>
                <a:round/>
              </a:ln>
              <a:effectLst/>
            </c:spPr>
          </c:marker>
          <c:cat>
            <c:strRef>
              <c:f>'Fig. 8'!$D$5:$D$14</c:f>
              <c:strCache>
                <c:ptCount val="10"/>
                <c:pt idx="0">
                  <c:v>  Romania</c:v>
                </c:pt>
                <c:pt idx="1">
                  <c:v>  Albania</c:v>
                </c:pt>
                <c:pt idx="2">
                  <c:v>  Marocco</c:v>
                </c:pt>
                <c:pt idx="3">
                  <c:v>  Nigeria</c:v>
                </c:pt>
                <c:pt idx="4">
                  <c:v>  India</c:v>
                </c:pt>
                <c:pt idx="5">
                  <c:v>  Cina</c:v>
                </c:pt>
                <c:pt idx="6">
                  <c:v>  Ucraina</c:v>
                </c:pt>
                <c:pt idx="7">
                  <c:v>  Bulgaria</c:v>
                </c:pt>
                <c:pt idx="8">
                  <c:v>  Tunisia</c:v>
                </c:pt>
                <c:pt idx="9">
                  <c:v>  Polonia</c:v>
                </c:pt>
              </c:strCache>
            </c:strRef>
          </c:cat>
          <c:val>
            <c:numRef>
              <c:f>'Fig. 8'!$K$5:$K$14</c:f>
              <c:numCache>
                <c:formatCode>General</c:formatCode>
                <c:ptCount val="10"/>
                <c:pt idx="0">
                  <c:v>22.734137399181726</c:v>
                </c:pt>
                <c:pt idx="1">
                  <c:v>8.365463623669724</c:v>
                </c:pt>
                <c:pt idx="2">
                  <c:v>8.2198182130974899</c:v>
                </c:pt>
                <c:pt idx="3">
                  <c:v>2.2430782217052547</c:v>
                </c:pt>
                <c:pt idx="4">
                  <c:v>3.0404372378407412</c:v>
                </c:pt>
                <c:pt idx="5">
                  <c:v>5.7330121197221162</c:v>
                </c:pt>
                <c:pt idx="6">
                  <c:v>4.5351679099109719</c:v>
                </c:pt>
                <c:pt idx="7">
                  <c:v>1.1231562908201518</c:v>
                </c:pt>
                <c:pt idx="8">
                  <c:v>1.8530302876973079</c:v>
                </c:pt>
                <c:pt idx="9">
                  <c:v>1.7211953956207555</c:v>
                </c:pt>
              </c:numCache>
            </c:numRef>
          </c:val>
          <c:extLst xmlns:c16r2="http://schemas.microsoft.com/office/drawing/2015/06/chart">
            <c:ext xmlns:c16="http://schemas.microsoft.com/office/drawing/2014/chart" uri="{C3380CC4-5D6E-409C-BE32-E72D297353CC}">
              <c16:uniqueId val="{00000001-ABD5-44C8-8126-16A015C48F62}"/>
            </c:ext>
          </c:extLst>
        </c:ser>
        <c:marker val="1"/>
        <c:axId val="243802112"/>
        <c:axId val="243803648"/>
      </c:lineChart>
      <c:catAx>
        <c:axId val="243802112"/>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it-IT"/>
          </a:p>
        </c:txPr>
        <c:crossAx val="243803648"/>
        <c:crosses val="autoZero"/>
        <c:auto val="1"/>
        <c:lblAlgn val="ctr"/>
        <c:lblOffset val="100"/>
      </c:catAx>
      <c:valAx>
        <c:axId val="243803648"/>
        <c:scaling>
          <c:orientation val="minMax"/>
        </c:scaling>
        <c:axPos val="l"/>
        <c:majorGridlines>
          <c:spPr>
            <a:ln w="6350" cap="flat" cmpd="sng" algn="ctr">
              <a:solidFill>
                <a:schemeClr val="bg1">
                  <a:lumMod val="85000"/>
                </a:schemeClr>
              </a:solidFill>
              <a:round/>
            </a:ln>
            <a:effectLst/>
          </c:spPr>
        </c:majorGridlines>
        <c:numFmt formatCode="General" sourceLinked="1"/>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it-IT"/>
          </a:p>
        </c:txPr>
        <c:crossAx val="243802112"/>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it-IT"/>
        </a:p>
      </c:txPr>
    </c:legend>
    <c:plotVisOnly val="1"/>
    <c:dispBlanksAs val="gap"/>
  </c:chart>
  <c:spPr>
    <a:solidFill>
      <a:schemeClr val="bg1"/>
    </a:solidFill>
    <a:ln w="6350" cap="flat" cmpd="sng" algn="ctr">
      <a:solidFill>
        <a:schemeClr val="bg1">
          <a:lumMod val="85000"/>
        </a:schemeClr>
      </a:solidFill>
      <a:round/>
    </a:ln>
    <a:effectLst/>
  </c:spPr>
  <c:txPr>
    <a:bodyPr/>
    <a:lstStyle/>
    <a:p>
      <a:pPr>
        <a:defRPr sz="800">
          <a:latin typeface="Arial Narrow" panose="020B0606020202030204" pitchFamily="34" charset="0"/>
        </a:defRPr>
      </a:pPr>
      <a:endParaRPr lang="it-IT"/>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0.26206143790849684"/>
          <c:y val="0.1119162037037037"/>
          <c:w val="0.69558267973856203"/>
          <c:h val="0.79708611111111116"/>
        </c:manualLayout>
      </c:layout>
      <c:barChart>
        <c:barDir val="bar"/>
        <c:grouping val="clustered"/>
        <c:ser>
          <c:idx val="1"/>
          <c:order val="0"/>
          <c:tx>
            <c:strRef>
              <c:f>'Fig. 9'!$L$5</c:f>
              <c:strCache>
                <c:ptCount val="1"/>
                <c:pt idx="0">
                  <c:v>Italia</c:v>
                </c:pt>
              </c:strCache>
            </c:strRef>
          </c:tx>
          <c:spPr>
            <a:solidFill>
              <a:srgbClr val="C9321F"/>
            </a:solidFill>
            <a:ln>
              <a:noFill/>
            </a:ln>
            <a:effectLst/>
          </c:spPr>
          <c:cat>
            <c:strRef>
              <c:f>'Fig. 9'!$B$6:$B$15</c:f>
              <c:strCache>
                <c:ptCount val="8"/>
                <c:pt idx="0">
                  <c:v>Analfabeti</c:v>
                </c:pt>
                <c:pt idx="1">
                  <c:v>Alfabeti privi di titolo di studio</c:v>
                </c:pt>
                <c:pt idx="2">
                  <c:v>Licenza di scuola elementare</c:v>
                </c:pt>
                <c:pt idx="3">
                  <c:v>Licenza di scuola media</c:v>
                </c:pt>
                <c:pt idx="4">
                  <c:v>Secondario II grado</c:v>
                </c:pt>
                <c:pt idx="5">
                  <c:v>Terziario I livello</c:v>
                </c:pt>
                <c:pt idx="6">
                  <c:v>Terziario II livello</c:v>
                </c:pt>
                <c:pt idx="7">
                  <c:v>Dottorato di ricerca/Alta formazione</c:v>
                </c:pt>
              </c:strCache>
            </c:strRef>
          </c:cat>
          <c:val>
            <c:numRef>
              <c:f>'Fig. 9'!$L$6:$L$15</c:f>
              <c:numCache>
                <c:formatCode>0.0</c:formatCode>
                <c:ptCount val="8"/>
                <c:pt idx="0">
                  <c:v>-42.474608926466892</c:v>
                </c:pt>
                <c:pt idx="1">
                  <c:v>-17.706373580326506</c:v>
                </c:pt>
                <c:pt idx="2">
                  <c:v>-21.33314698358722</c:v>
                </c:pt>
                <c:pt idx="3">
                  <c:v>-2.3329441110458746</c:v>
                </c:pt>
                <c:pt idx="4">
                  <c:v>16.17881539465246</c:v>
                </c:pt>
                <c:pt idx="5">
                  <c:v>49.567531195723646</c:v>
                </c:pt>
                <c:pt idx="6">
                  <c:v>18.348615174226033</c:v>
                </c:pt>
                <c:pt idx="7">
                  <c:v>41.434552098573093</c:v>
                </c:pt>
              </c:numCache>
            </c:numRef>
          </c:val>
          <c:extLst xmlns:c16r2="http://schemas.microsoft.com/office/drawing/2015/06/chart">
            <c:ext xmlns:c16="http://schemas.microsoft.com/office/drawing/2014/chart" uri="{C3380CC4-5D6E-409C-BE32-E72D297353CC}">
              <c16:uniqueId val="{00000000-5C8E-4E0C-ACD6-A099968000A5}"/>
            </c:ext>
          </c:extLst>
        </c:ser>
        <c:ser>
          <c:idx val="0"/>
          <c:order val="1"/>
          <c:tx>
            <c:strRef>
              <c:f>'Fig. 9'!$K$5</c:f>
              <c:strCache>
                <c:ptCount val="1"/>
                <c:pt idx="0">
                  <c:v>Basilicata</c:v>
                </c:pt>
              </c:strCache>
            </c:strRef>
          </c:tx>
          <c:spPr>
            <a:solidFill>
              <a:srgbClr val="A5A5A5"/>
            </a:solidFill>
            <a:ln>
              <a:noFill/>
            </a:ln>
            <a:effectLst/>
          </c:spPr>
          <c:cat>
            <c:strRef>
              <c:f>'Fig. 9'!$B$6:$B$15</c:f>
              <c:strCache>
                <c:ptCount val="8"/>
                <c:pt idx="0">
                  <c:v>Analfabeti</c:v>
                </c:pt>
                <c:pt idx="1">
                  <c:v>Alfabeti privi di titolo di studio</c:v>
                </c:pt>
                <c:pt idx="2">
                  <c:v>Licenza di scuola elementare</c:v>
                </c:pt>
                <c:pt idx="3">
                  <c:v>Licenza di scuola media</c:v>
                </c:pt>
                <c:pt idx="4">
                  <c:v>Secondario II grado</c:v>
                </c:pt>
                <c:pt idx="5">
                  <c:v>Terziario I livello</c:v>
                </c:pt>
                <c:pt idx="6">
                  <c:v>Terziario II livello</c:v>
                </c:pt>
                <c:pt idx="7">
                  <c:v>Dottorato di ricerca/Alta formazione</c:v>
                </c:pt>
              </c:strCache>
            </c:strRef>
          </c:cat>
          <c:val>
            <c:numRef>
              <c:f>'Fig. 9'!$K$6:$K$15</c:f>
              <c:numCache>
                <c:formatCode>0.0</c:formatCode>
                <c:ptCount val="8"/>
                <c:pt idx="0">
                  <c:v>-50.985400155478246</c:v>
                </c:pt>
                <c:pt idx="1">
                  <c:v>-31.876858381996378</c:v>
                </c:pt>
                <c:pt idx="2">
                  <c:v>-21.046670523959619</c:v>
                </c:pt>
                <c:pt idx="3">
                  <c:v>-3.5617498039457303</c:v>
                </c:pt>
                <c:pt idx="4">
                  <c:v>10.835840010722954</c:v>
                </c:pt>
                <c:pt idx="5">
                  <c:v>39.482480443938201</c:v>
                </c:pt>
                <c:pt idx="6">
                  <c:v>18.683895265002924</c:v>
                </c:pt>
                <c:pt idx="7">
                  <c:v>5.1473002923988673</c:v>
                </c:pt>
              </c:numCache>
            </c:numRef>
          </c:val>
          <c:extLst xmlns:c16r2="http://schemas.microsoft.com/office/drawing/2015/06/chart">
            <c:ext xmlns:c16="http://schemas.microsoft.com/office/drawing/2014/chart" uri="{C3380CC4-5D6E-409C-BE32-E72D297353CC}">
              <c16:uniqueId val="{00000001-5C8E-4E0C-ACD6-A099968000A5}"/>
            </c:ext>
          </c:extLst>
        </c:ser>
        <c:gapWidth val="60"/>
        <c:axId val="243844992"/>
        <c:axId val="243846528"/>
      </c:barChart>
      <c:catAx>
        <c:axId val="243844992"/>
        <c:scaling>
          <c:orientation val="minMax"/>
        </c:scaling>
        <c:axPos val="l"/>
        <c:majorGridlines>
          <c:spPr>
            <a:ln w="6350" cap="flat" cmpd="sng" algn="ctr">
              <a:solidFill>
                <a:schemeClr val="bg1">
                  <a:lumMod val="85000"/>
                </a:schemeClr>
              </a:solidFill>
              <a:round/>
            </a:ln>
            <a:effectLst/>
          </c:spPr>
        </c:majorGridlines>
        <c:numFmt formatCode="General" sourceLinked="1"/>
        <c:majorTickMark val="none"/>
        <c:tickLblPos val="low"/>
        <c:spPr>
          <a:noFill/>
          <a:ln w="9525" cap="flat" cmpd="sng" algn="ctr">
            <a:solidFill>
              <a:schemeClr val="bg1">
                <a:lumMod val="6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243846528"/>
        <c:crosses val="autoZero"/>
        <c:auto val="1"/>
        <c:lblAlgn val="ctr"/>
        <c:lblOffset val="100"/>
      </c:catAx>
      <c:valAx>
        <c:axId val="243846528"/>
        <c:scaling>
          <c:orientation val="minMax"/>
        </c:scaling>
        <c:axPos val="b"/>
        <c:majorGridlines>
          <c:spPr>
            <a:ln w="6350" cap="flat" cmpd="sng" algn="ctr">
              <a:solidFill>
                <a:schemeClr val="bg1">
                  <a:lumMod val="85000"/>
                </a:schemeClr>
              </a:solidFill>
              <a:round/>
            </a:ln>
            <a:effectLst/>
          </c:spPr>
        </c:majorGridlines>
        <c:numFmt formatCode="#,##0" sourceLinked="0"/>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243844992"/>
        <c:crosses val="autoZero"/>
        <c:crossBetween val="between"/>
      </c:valAx>
      <c:spPr>
        <a:noFill/>
        <a:ln>
          <a:noFill/>
        </a:ln>
        <a:effectLst/>
      </c:spPr>
    </c:plotArea>
    <c:legend>
      <c:legendPos val="t"/>
      <c:layout>
        <c:manualLayout>
          <c:xMode val="edge"/>
          <c:yMode val="edge"/>
          <c:x val="0.53790130718954265"/>
          <c:y val="1.3185648148148149E-2"/>
          <c:w val="0.14959428104575173"/>
          <c:h val="8.8014351851851885E-2"/>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legend>
    <c:plotVisOnly val="1"/>
    <c:dispBlanksAs val="gap"/>
  </c:chart>
  <c:spPr>
    <a:solidFill>
      <a:schemeClr val="bg1"/>
    </a:solidFill>
    <a:ln w="6350" cap="flat" cmpd="sng" algn="ctr">
      <a:solidFill>
        <a:schemeClr val="bg1">
          <a:lumMod val="85000"/>
        </a:schemeClr>
      </a:solidFill>
      <a:round/>
    </a:ln>
    <a:effectLst/>
  </c:spPr>
  <c:txPr>
    <a:bodyPr/>
    <a:lstStyle/>
    <a:p>
      <a:pPr>
        <a:defRPr sz="800">
          <a:latin typeface="Arial Narrow" panose="020B0606020202030204" pitchFamily="34" charset="0"/>
        </a:defRPr>
      </a:pPr>
      <a:endParaRPr lang="it-IT"/>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5.9609313725490186E-2"/>
          <c:y val="0.12399027777777782"/>
          <c:w val="0.91756388888888862"/>
          <c:h val="0.74536435185185168"/>
        </c:manualLayout>
      </c:layout>
      <c:barChart>
        <c:barDir val="col"/>
        <c:grouping val="clustered"/>
        <c:ser>
          <c:idx val="0"/>
          <c:order val="0"/>
          <c:tx>
            <c:strRef>
              <c:f>'Fig. 10'!$D$4</c:f>
              <c:strCache>
                <c:ptCount val="1"/>
                <c:pt idx="0">
                  <c:v>Fino a secondario I grado</c:v>
                </c:pt>
              </c:strCache>
            </c:strRef>
          </c:tx>
          <c:spPr>
            <a:solidFill>
              <a:srgbClr val="A5A5A5"/>
            </a:solidFill>
            <a:ln>
              <a:noFill/>
            </a:ln>
            <a:effectLst/>
          </c:spPr>
          <c:cat>
            <c:strRef>
              <c:f>'Fig. 10'!$C$5:$C$10</c:f>
              <c:strCache>
                <c:ptCount val="6"/>
                <c:pt idx="0">
                  <c:v>Italia</c:v>
                </c:pt>
                <c:pt idx="2">
                  <c:v>Basilicata</c:v>
                </c:pt>
                <c:pt idx="4">
                  <c:v>Matera</c:v>
                </c:pt>
                <c:pt idx="5">
                  <c:v>Potenza</c:v>
                </c:pt>
              </c:strCache>
            </c:strRef>
          </c:cat>
          <c:val>
            <c:numRef>
              <c:f>'Fig. 10'!$D$5:$D$10</c:f>
              <c:numCache>
                <c:formatCode>General</c:formatCode>
                <c:ptCount val="6"/>
                <c:pt idx="0" formatCode="0.0">
                  <c:v>50.116499714121112</c:v>
                </c:pt>
                <c:pt idx="2" formatCode="0.0">
                  <c:v>51.185256499481902</c:v>
                </c:pt>
                <c:pt idx="4" formatCode="0.0">
                  <c:v>50.581459374931171</c:v>
                </c:pt>
                <c:pt idx="5" formatCode="0.0">
                  <c:v>51.511946612643733</c:v>
                </c:pt>
              </c:numCache>
            </c:numRef>
          </c:val>
          <c:extLst xmlns:c16r2="http://schemas.microsoft.com/office/drawing/2015/06/chart">
            <c:ext xmlns:c16="http://schemas.microsoft.com/office/drawing/2014/chart" uri="{C3380CC4-5D6E-409C-BE32-E72D297353CC}">
              <c16:uniqueId val="{00000000-A5DD-4884-921B-9BFAF8D53F67}"/>
            </c:ext>
          </c:extLst>
        </c:ser>
        <c:gapWidth val="50"/>
        <c:axId val="244328320"/>
        <c:axId val="244329856"/>
      </c:barChart>
      <c:lineChart>
        <c:grouping val="standard"/>
        <c:ser>
          <c:idx val="1"/>
          <c:order val="1"/>
          <c:tx>
            <c:strRef>
              <c:f>'Fig. 10'!$E$4</c:f>
              <c:strCache>
                <c:ptCount val="1"/>
                <c:pt idx="0">
                  <c:v>Secondario II grado</c:v>
                </c:pt>
              </c:strCache>
            </c:strRef>
          </c:tx>
          <c:spPr>
            <a:ln w="28575" cap="rnd">
              <a:noFill/>
              <a:round/>
            </a:ln>
            <a:effectLst/>
          </c:spPr>
          <c:marker>
            <c:symbol val="diamond"/>
            <c:size val="9"/>
            <c:spPr>
              <a:solidFill>
                <a:srgbClr val="5A5A5A"/>
              </a:solidFill>
              <a:ln w="9525">
                <a:noFill/>
              </a:ln>
              <a:effectLst/>
            </c:spPr>
          </c:marker>
          <c:cat>
            <c:strRef>
              <c:f>'Fig. 10'!$C$5:$C$10</c:f>
              <c:strCache>
                <c:ptCount val="6"/>
                <c:pt idx="0">
                  <c:v>Italia</c:v>
                </c:pt>
                <c:pt idx="2">
                  <c:v>Basilicata</c:v>
                </c:pt>
                <c:pt idx="4">
                  <c:v>Matera</c:v>
                </c:pt>
                <c:pt idx="5">
                  <c:v>Potenza</c:v>
                </c:pt>
              </c:strCache>
            </c:strRef>
          </c:cat>
          <c:val>
            <c:numRef>
              <c:f>'Fig. 10'!$E$5:$E$10</c:f>
              <c:numCache>
                <c:formatCode>General</c:formatCode>
                <c:ptCount val="6"/>
                <c:pt idx="0" formatCode="0.0">
                  <c:v>35.609905694324063</c:v>
                </c:pt>
                <c:pt idx="2" formatCode="0.0">
                  <c:v>35.328221902596702</c:v>
                </c:pt>
                <c:pt idx="4" formatCode="0.0">
                  <c:v>35.80820650617801</c:v>
                </c:pt>
                <c:pt idx="5" formatCode="0.0">
                  <c:v>35.068521718405549</c:v>
                </c:pt>
              </c:numCache>
            </c:numRef>
          </c:val>
          <c:extLst xmlns:c16r2="http://schemas.microsoft.com/office/drawing/2015/06/chart">
            <c:ext xmlns:c16="http://schemas.microsoft.com/office/drawing/2014/chart" uri="{C3380CC4-5D6E-409C-BE32-E72D297353CC}">
              <c16:uniqueId val="{00000001-A5DD-4884-921B-9BFAF8D53F67}"/>
            </c:ext>
          </c:extLst>
        </c:ser>
        <c:ser>
          <c:idx val="2"/>
          <c:order val="2"/>
          <c:tx>
            <c:strRef>
              <c:f>'Fig. 10'!$F$4</c:f>
              <c:strCache>
                <c:ptCount val="1"/>
                <c:pt idx="0">
                  <c:v>Terziario e superiore</c:v>
                </c:pt>
              </c:strCache>
            </c:strRef>
          </c:tx>
          <c:spPr>
            <a:ln w="28575" cap="rnd">
              <a:noFill/>
              <a:round/>
            </a:ln>
            <a:effectLst/>
          </c:spPr>
          <c:marker>
            <c:symbol val="circle"/>
            <c:size val="6"/>
            <c:spPr>
              <a:solidFill>
                <a:srgbClr val="C9321F"/>
              </a:solidFill>
              <a:ln w="9525">
                <a:noFill/>
              </a:ln>
              <a:effectLst/>
            </c:spPr>
          </c:marker>
          <c:cat>
            <c:strRef>
              <c:f>'Fig. 10'!$C$5:$C$10</c:f>
              <c:strCache>
                <c:ptCount val="6"/>
                <c:pt idx="0">
                  <c:v>Italia</c:v>
                </c:pt>
                <c:pt idx="2">
                  <c:v>Basilicata</c:v>
                </c:pt>
                <c:pt idx="4">
                  <c:v>Matera</c:v>
                </c:pt>
                <c:pt idx="5">
                  <c:v>Potenza</c:v>
                </c:pt>
              </c:strCache>
            </c:strRef>
          </c:cat>
          <c:val>
            <c:numRef>
              <c:f>'Fig. 10'!$F$5:$F$10</c:f>
              <c:numCache>
                <c:formatCode>General</c:formatCode>
                <c:ptCount val="6"/>
                <c:pt idx="0" formatCode="0.0">
                  <c:v>14.273594591554836</c:v>
                </c:pt>
                <c:pt idx="2" formatCode="0.0">
                  <c:v>13.486521597921406</c:v>
                </c:pt>
                <c:pt idx="4" formatCode="0.0">
                  <c:v>13.610334118890821</c:v>
                </c:pt>
                <c:pt idx="5" formatCode="0.0">
                  <c:v>13.419531668950723</c:v>
                </c:pt>
              </c:numCache>
            </c:numRef>
          </c:val>
          <c:extLst xmlns:c16r2="http://schemas.microsoft.com/office/drawing/2015/06/chart">
            <c:ext xmlns:c16="http://schemas.microsoft.com/office/drawing/2014/chart" uri="{C3380CC4-5D6E-409C-BE32-E72D297353CC}">
              <c16:uniqueId val="{00000002-A5DD-4884-921B-9BFAF8D53F67}"/>
            </c:ext>
          </c:extLst>
        </c:ser>
        <c:marker val="1"/>
        <c:axId val="244328320"/>
        <c:axId val="244329856"/>
      </c:lineChart>
      <c:catAx>
        <c:axId val="244328320"/>
        <c:scaling>
          <c:orientation val="minMax"/>
        </c:scaling>
        <c:axPos val="b"/>
        <c:numFmt formatCode="General" sourceLinked="1"/>
        <c:maj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244329856"/>
        <c:crosses val="autoZero"/>
        <c:auto val="1"/>
        <c:lblAlgn val="ctr"/>
        <c:lblOffset val="100"/>
      </c:catAx>
      <c:valAx>
        <c:axId val="244329856"/>
        <c:scaling>
          <c:orientation val="minMax"/>
        </c:scaling>
        <c:axPos val="l"/>
        <c:majorGridlines>
          <c:spPr>
            <a:ln w="9525" cap="flat" cmpd="sng" algn="ctr">
              <a:solidFill>
                <a:schemeClr val="tx1">
                  <a:lumMod val="15000"/>
                  <a:lumOff val="85000"/>
                </a:schemeClr>
              </a:solidFill>
              <a:round/>
            </a:ln>
            <a:effectLst/>
          </c:spPr>
        </c:majorGridlines>
        <c:numFmt formatCode="0" sourceLinked="0"/>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244328320"/>
        <c:crosses val="autoZero"/>
        <c:crossBetween val="between"/>
      </c:valAx>
      <c:spPr>
        <a:noFill/>
        <a:ln w="6350">
          <a:solidFill>
            <a:schemeClr val="bg1">
              <a:lumMod val="85000"/>
            </a:schemeClr>
          </a:solidFill>
        </a:ln>
        <a:effectLst/>
      </c:spPr>
    </c:plotArea>
    <c:legend>
      <c:legendPos val="t"/>
      <c:layout>
        <c:manualLayout>
          <c:xMode val="edge"/>
          <c:yMode val="edge"/>
          <c:x val="0.24406470588235299"/>
          <c:y val="1.7638888888888891E-2"/>
          <c:w val="0.45516519607843126"/>
          <c:h val="8.8014351851851885E-2"/>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900">
          <a:solidFill>
            <a:schemeClr val="tx1">
              <a:lumMod val="65000"/>
              <a:lumOff val="35000"/>
            </a:schemeClr>
          </a:solidFill>
          <a:latin typeface="Arial Narrow" panose="020B0606020202030204" pitchFamily="34" charset="0"/>
        </a:defRPr>
      </a:pPr>
      <a:endParaRPr lang="it-IT"/>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it-IT"/>
  <c:chart>
    <c:plotArea>
      <c:layout>
        <c:manualLayout>
          <c:layoutTarget val="inner"/>
          <c:xMode val="edge"/>
          <c:yMode val="edge"/>
          <c:x val="5.9609313725490186E-2"/>
          <c:y val="0.11223101851851852"/>
          <c:w val="0.91756388888888862"/>
          <c:h val="0.69997361111111134"/>
        </c:manualLayout>
      </c:layout>
      <c:barChart>
        <c:barDir val="col"/>
        <c:grouping val="clustered"/>
        <c:ser>
          <c:idx val="0"/>
          <c:order val="0"/>
          <c:tx>
            <c:strRef>
              <c:f>' Fig. 11'!$D$2</c:f>
              <c:strCache>
                <c:ptCount val="1"/>
                <c:pt idx="0">
                  <c:v>Basilicata</c:v>
                </c:pt>
              </c:strCache>
            </c:strRef>
          </c:tx>
          <c:spPr>
            <a:solidFill>
              <a:srgbClr val="A5A5A5"/>
            </a:solidFill>
            <a:ln>
              <a:noFill/>
            </a:ln>
            <a:effectLst/>
          </c:spPr>
          <c:cat>
            <c:multiLvlStrRef>
              <c:f>' Fig. 11'!$B$3:$C$8</c:f>
              <c:multiLvlStrCache>
                <c:ptCount val="6"/>
                <c:lvl>
                  <c:pt idx="0">
                    <c:v>Maschi</c:v>
                  </c:pt>
                  <c:pt idx="1">
                    <c:v>Femmine</c:v>
                  </c:pt>
                  <c:pt idx="2">
                    <c:v>Maschi</c:v>
                  </c:pt>
                  <c:pt idx="3">
                    <c:v>Femmine</c:v>
                  </c:pt>
                  <c:pt idx="4">
                    <c:v>Maschi</c:v>
                  </c:pt>
                  <c:pt idx="5">
                    <c:v>Femmine</c:v>
                  </c:pt>
                </c:lvl>
                <c:lvl>
                  <c:pt idx="0">
                    <c:v>Fino a secondario I grado </c:v>
                  </c:pt>
                  <c:pt idx="2">
                    <c:v>Secondario II grado</c:v>
                  </c:pt>
                  <c:pt idx="4">
                    <c:v>Terziario e superiore</c:v>
                  </c:pt>
                </c:lvl>
              </c:multiLvlStrCache>
            </c:multiLvlStrRef>
          </c:cat>
          <c:val>
            <c:numRef>
              <c:f>' Fig. 11'!$D$3:$D$8</c:f>
              <c:numCache>
                <c:formatCode>0.0</c:formatCode>
                <c:ptCount val="6"/>
                <c:pt idx="0">
                  <c:v>48.584226886281144</c:v>
                </c:pt>
                <c:pt idx="1">
                  <c:v>51.415773113718856</c:v>
                </c:pt>
                <c:pt idx="2">
                  <c:v>51.640828923679713</c:v>
                </c:pt>
                <c:pt idx="3">
                  <c:v>48.359171076320294</c:v>
                </c:pt>
                <c:pt idx="4">
                  <c:v>43.813250766893141</c:v>
                </c:pt>
                <c:pt idx="5">
                  <c:v>56.186749233106852</c:v>
                </c:pt>
              </c:numCache>
            </c:numRef>
          </c:val>
          <c:extLst xmlns:c16r2="http://schemas.microsoft.com/office/drawing/2015/06/chart">
            <c:ext xmlns:c16="http://schemas.microsoft.com/office/drawing/2014/chart" uri="{C3380CC4-5D6E-409C-BE32-E72D297353CC}">
              <c16:uniqueId val="{00000000-2EBF-4043-B261-D2940FDD3912}"/>
            </c:ext>
          </c:extLst>
        </c:ser>
        <c:gapWidth val="60"/>
        <c:axId val="244352128"/>
        <c:axId val="244353664"/>
      </c:barChart>
      <c:lineChart>
        <c:grouping val="standard"/>
        <c:ser>
          <c:idx val="1"/>
          <c:order val="1"/>
          <c:tx>
            <c:strRef>
              <c:f>' Fig. 11'!$E$2</c:f>
              <c:strCache>
                <c:ptCount val="1"/>
                <c:pt idx="0">
                  <c:v>Italia</c:v>
                </c:pt>
              </c:strCache>
            </c:strRef>
          </c:tx>
          <c:spPr>
            <a:ln w="25400" cap="rnd">
              <a:noFill/>
              <a:round/>
            </a:ln>
            <a:effectLst/>
          </c:spPr>
          <c:marker>
            <c:symbol val="circle"/>
            <c:size val="6"/>
            <c:spPr>
              <a:solidFill>
                <a:srgbClr val="C9321F"/>
              </a:solidFill>
              <a:ln w="9525">
                <a:noFill/>
              </a:ln>
              <a:effectLst/>
            </c:spPr>
          </c:marker>
          <c:cat>
            <c:multiLvlStrRef>
              <c:f>' Fig. 11'!$B$3:$C$8</c:f>
              <c:multiLvlStrCache>
                <c:ptCount val="6"/>
                <c:lvl>
                  <c:pt idx="0">
                    <c:v>Maschi</c:v>
                  </c:pt>
                  <c:pt idx="1">
                    <c:v>Femmine</c:v>
                  </c:pt>
                  <c:pt idx="2">
                    <c:v>Maschi</c:v>
                  </c:pt>
                  <c:pt idx="3">
                    <c:v>Femmine</c:v>
                  </c:pt>
                  <c:pt idx="4">
                    <c:v>Maschi</c:v>
                  </c:pt>
                  <c:pt idx="5">
                    <c:v>Femmine</c:v>
                  </c:pt>
                </c:lvl>
                <c:lvl>
                  <c:pt idx="0">
                    <c:v>Fino a secondario I grado </c:v>
                  </c:pt>
                  <c:pt idx="2">
                    <c:v>Secondario II grado</c:v>
                  </c:pt>
                  <c:pt idx="4">
                    <c:v>Terziario e superiore</c:v>
                  </c:pt>
                </c:lvl>
              </c:multiLvlStrCache>
            </c:multiLvlStrRef>
          </c:cat>
          <c:val>
            <c:numRef>
              <c:f>' Fig. 11'!$E$3:$E$8</c:f>
              <c:numCache>
                <c:formatCode>0.0</c:formatCode>
                <c:ptCount val="6"/>
                <c:pt idx="0">
                  <c:v>48.40345637202023</c:v>
                </c:pt>
                <c:pt idx="1">
                  <c:v>51.596543627979784</c:v>
                </c:pt>
                <c:pt idx="2">
                  <c:v>50.337377057771022</c:v>
                </c:pt>
                <c:pt idx="3">
                  <c:v>49.662622942228985</c:v>
                </c:pt>
                <c:pt idx="4">
                  <c:v>44.231914733511829</c:v>
                </c:pt>
                <c:pt idx="5">
                  <c:v>55.768085266488193</c:v>
                </c:pt>
              </c:numCache>
            </c:numRef>
          </c:val>
          <c:extLst xmlns:c16r2="http://schemas.microsoft.com/office/drawing/2015/06/chart">
            <c:ext xmlns:c16="http://schemas.microsoft.com/office/drawing/2014/chart" uri="{C3380CC4-5D6E-409C-BE32-E72D297353CC}">
              <c16:uniqueId val="{00000001-2EBF-4043-B261-D2940FDD3912}"/>
            </c:ext>
          </c:extLst>
        </c:ser>
        <c:dropLines>
          <c:spPr>
            <a:ln w="12700" cap="flat" cmpd="sng" algn="ctr">
              <a:noFill/>
              <a:prstDash val="sysDash"/>
              <a:round/>
            </a:ln>
            <a:effectLst/>
          </c:spPr>
        </c:dropLines>
        <c:marker val="1"/>
        <c:axId val="244352128"/>
        <c:axId val="244353664"/>
      </c:lineChart>
      <c:catAx>
        <c:axId val="244352128"/>
        <c:scaling>
          <c:orientation val="minMax"/>
        </c:scaling>
        <c:axPos val="b"/>
        <c:numFmt formatCode="General" sourceLinked="0"/>
        <c:maj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244353664"/>
        <c:crosses val="autoZero"/>
        <c:auto val="1"/>
        <c:lblAlgn val="ctr"/>
        <c:lblOffset val="100"/>
      </c:catAx>
      <c:valAx>
        <c:axId val="244353664"/>
        <c:scaling>
          <c:orientation val="minMax"/>
        </c:scaling>
        <c:axPos val="l"/>
        <c:majorGridlines>
          <c:spPr>
            <a:ln w="6350" cap="flat" cmpd="sng" algn="ctr">
              <a:solidFill>
                <a:schemeClr val="bg1">
                  <a:lumMod val="85000"/>
                </a:schemeClr>
              </a:solidFill>
              <a:round/>
            </a:ln>
            <a:effectLst/>
          </c:spPr>
        </c:majorGridlines>
        <c:numFmt formatCode="0" sourceLinked="0"/>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244352128"/>
        <c:crosses val="autoZero"/>
        <c:crossBetween val="between"/>
      </c:valAx>
      <c:spPr>
        <a:noFill/>
        <a:ln w="6350">
          <a:solidFill>
            <a:schemeClr val="bg1">
              <a:lumMod val="85000"/>
            </a:schemeClr>
          </a:solidFill>
        </a:ln>
        <a:effectLst/>
      </c:spPr>
    </c:plotArea>
    <c:legend>
      <c:legendPos val="t"/>
      <c:layout>
        <c:manualLayout>
          <c:xMode val="edge"/>
          <c:yMode val="edge"/>
          <c:x val="0.41586584967320273"/>
          <c:y val="1.1759259259259261E-2"/>
          <c:w val="0.14959428104575173"/>
          <c:h val="8.8014351851851885E-2"/>
        </c:manualLayout>
      </c:layout>
      <c:spPr>
        <a:noFill/>
        <a:ln>
          <a:noFill/>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legend>
    <c:plotVisOnly val="1"/>
    <c:dispBlanksAs val="gap"/>
  </c:chart>
  <c:spPr>
    <a:solidFill>
      <a:schemeClr val="bg1"/>
    </a:solidFill>
    <a:ln w="6350" cap="flat" cmpd="sng" algn="ctr">
      <a:solidFill>
        <a:schemeClr val="bg1">
          <a:lumMod val="85000"/>
        </a:schemeClr>
      </a:solidFill>
      <a:round/>
    </a:ln>
    <a:effectLst/>
  </c:spPr>
  <c:txPr>
    <a:bodyPr/>
    <a:lstStyle/>
    <a:p>
      <a:pPr>
        <a:defRPr sz="900">
          <a:latin typeface="Arial Narrow" panose="020B0606020202030204" pitchFamily="34" charset="0"/>
        </a:defRPr>
      </a:pPr>
      <a:endParaRPr lang="it-IT"/>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5.4500816993464062E-2"/>
          <c:y val="0.1174125"/>
          <c:w val="0.9226723856209148"/>
          <c:h val="0.68001342592592551"/>
        </c:manualLayout>
      </c:layout>
      <c:barChart>
        <c:barDir val="col"/>
        <c:grouping val="clustered"/>
        <c:ser>
          <c:idx val="0"/>
          <c:order val="0"/>
          <c:tx>
            <c:strRef>
              <c:f>'Fig. 12'!$B$6</c:f>
              <c:strCache>
                <c:ptCount val="1"/>
                <c:pt idx="0">
                  <c:v>Maschi</c:v>
                </c:pt>
              </c:strCache>
            </c:strRef>
          </c:tx>
          <c:spPr>
            <a:solidFill>
              <a:srgbClr val="A5A5A5"/>
            </a:solidFill>
            <a:ln>
              <a:noFill/>
            </a:ln>
            <a:effectLst/>
          </c:spPr>
          <c:cat>
            <c:multiLvlStrRef>
              <c:f>'Fig. 12'!$C$4:$H$5</c:f>
              <c:multiLvlStrCache>
                <c:ptCount val="6"/>
                <c:lvl>
                  <c:pt idx="0">
                    <c:v>Basilicata</c:v>
                  </c:pt>
                  <c:pt idx="1">
                    <c:v>Italia</c:v>
                  </c:pt>
                  <c:pt idx="2">
                    <c:v>Basilicata</c:v>
                  </c:pt>
                  <c:pt idx="3">
                    <c:v>Italia</c:v>
                  </c:pt>
                  <c:pt idx="4">
                    <c:v>Basilicata</c:v>
                  </c:pt>
                  <c:pt idx="5">
                    <c:v>Italia</c:v>
                  </c:pt>
                </c:lvl>
                <c:lvl>
                  <c:pt idx="0">
                    <c:v>Tasso di attività</c:v>
                  </c:pt>
                  <c:pt idx="2">
                    <c:v>Tasso di occupazione</c:v>
                  </c:pt>
                  <c:pt idx="4">
                    <c:v>Tasso di disoccupazione</c:v>
                  </c:pt>
                </c:lvl>
              </c:multiLvlStrCache>
            </c:multiLvlStrRef>
          </c:cat>
          <c:val>
            <c:numRef>
              <c:f>'Fig. 12'!$C$6:$H$6</c:f>
              <c:numCache>
                <c:formatCode>0.0</c:formatCode>
                <c:ptCount val="6"/>
                <c:pt idx="0">
                  <c:v>59.965640778529682</c:v>
                </c:pt>
                <c:pt idx="1">
                  <c:v>61.49490498384214</c:v>
                </c:pt>
                <c:pt idx="2">
                  <c:v>51.390919947204132</c:v>
                </c:pt>
                <c:pt idx="3">
                  <c:v>54.360398766716834</c:v>
                </c:pt>
                <c:pt idx="4">
                  <c:v>14.299389983998433</c:v>
                </c:pt>
                <c:pt idx="5">
                  <c:v>11.601784276274484</c:v>
                </c:pt>
              </c:numCache>
            </c:numRef>
          </c:val>
          <c:extLst xmlns:c16r2="http://schemas.microsoft.com/office/drawing/2015/06/chart">
            <c:ext xmlns:c16="http://schemas.microsoft.com/office/drawing/2014/chart" uri="{C3380CC4-5D6E-409C-BE32-E72D297353CC}">
              <c16:uniqueId val="{00000000-5E32-44E0-BDE4-164971E609CE}"/>
            </c:ext>
          </c:extLst>
        </c:ser>
        <c:gapWidth val="60"/>
        <c:axId val="244469760"/>
        <c:axId val="244471296"/>
      </c:barChart>
      <c:scatterChart>
        <c:scatterStyle val="lineMarker"/>
        <c:ser>
          <c:idx val="1"/>
          <c:order val="1"/>
          <c:tx>
            <c:strRef>
              <c:f>'Fig. 12'!$B$7</c:f>
              <c:strCache>
                <c:ptCount val="1"/>
                <c:pt idx="0">
                  <c:v>Femmine</c:v>
                </c:pt>
              </c:strCache>
            </c:strRef>
          </c:tx>
          <c:spPr>
            <a:ln w="25400" cap="rnd">
              <a:noFill/>
              <a:round/>
            </a:ln>
            <a:effectLst/>
          </c:spPr>
          <c:marker>
            <c:symbol val="circle"/>
            <c:size val="7"/>
            <c:spPr>
              <a:solidFill>
                <a:srgbClr val="D92C15"/>
              </a:solidFill>
              <a:ln w="9525">
                <a:noFill/>
              </a:ln>
              <a:effectLst/>
            </c:spPr>
          </c:marker>
          <c:xVal>
            <c:multiLvlStrRef>
              <c:f>'Fig. 12'!$C$4:$H$5</c:f>
              <c:multiLvlStrCache>
                <c:ptCount val="6"/>
                <c:lvl>
                  <c:pt idx="0">
                    <c:v>Basilicata</c:v>
                  </c:pt>
                  <c:pt idx="1">
                    <c:v>Italia</c:v>
                  </c:pt>
                  <c:pt idx="2">
                    <c:v>Basilicata</c:v>
                  </c:pt>
                  <c:pt idx="3">
                    <c:v>Italia</c:v>
                  </c:pt>
                  <c:pt idx="4">
                    <c:v>Basilicata</c:v>
                  </c:pt>
                  <c:pt idx="5">
                    <c:v>Italia</c:v>
                  </c:pt>
                </c:lvl>
                <c:lvl>
                  <c:pt idx="0">
                    <c:v>Tasso di attività</c:v>
                  </c:pt>
                  <c:pt idx="2">
                    <c:v>Tasso di occupazione</c:v>
                  </c:pt>
                  <c:pt idx="4">
                    <c:v>Tasso di disoccupazione</c:v>
                  </c:pt>
                </c:lvl>
              </c:multiLvlStrCache>
            </c:multiLvlStrRef>
          </c:xVal>
          <c:yVal>
            <c:numRef>
              <c:f>'Fig. 12'!$C$7:$H$7</c:f>
              <c:numCache>
                <c:formatCode>0.0</c:formatCode>
                <c:ptCount val="6"/>
                <c:pt idx="0">
                  <c:v>40.090694053655966</c:v>
                </c:pt>
                <c:pt idx="1">
                  <c:v>44.029758129041959</c:v>
                </c:pt>
                <c:pt idx="2">
                  <c:v>31.87259606725609</c:v>
                </c:pt>
                <c:pt idx="3">
                  <c:v>37.377547646259401</c:v>
                </c:pt>
                <c:pt idx="4">
                  <c:v>20.498767059011449</c:v>
                </c:pt>
                <c:pt idx="5">
                  <c:v>15.108442029788792</c:v>
                </c:pt>
              </c:numCache>
            </c:numRef>
          </c:yVal>
          <c:extLst xmlns:c16r2="http://schemas.microsoft.com/office/drawing/2015/06/chart">
            <c:ext xmlns:c16="http://schemas.microsoft.com/office/drawing/2014/chart" uri="{C3380CC4-5D6E-409C-BE32-E72D297353CC}">
              <c16:uniqueId val="{00000001-5E32-44E0-BDE4-164971E609CE}"/>
            </c:ext>
          </c:extLst>
        </c:ser>
        <c:axId val="244469760"/>
        <c:axId val="244471296"/>
      </c:scatterChart>
      <c:catAx>
        <c:axId val="244469760"/>
        <c:scaling>
          <c:orientation val="minMax"/>
        </c:scaling>
        <c:axPos val="b"/>
        <c:numFmt formatCode="General" sourceLinked="1"/>
        <c:maj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244471296"/>
        <c:crosses val="autoZero"/>
        <c:auto val="1"/>
        <c:lblAlgn val="ctr"/>
        <c:lblOffset val="100"/>
      </c:catAx>
      <c:valAx>
        <c:axId val="244471296"/>
        <c:scaling>
          <c:orientation val="minMax"/>
        </c:scaling>
        <c:axPos val="l"/>
        <c:majorGridlines>
          <c:spPr>
            <a:ln w="9525" cap="flat" cmpd="sng" algn="ctr">
              <a:solidFill>
                <a:schemeClr val="tx1">
                  <a:lumMod val="15000"/>
                  <a:lumOff val="85000"/>
                </a:schemeClr>
              </a:solidFill>
              <a:round/>
            </a:ln>
            <a:effectLst/>
          </c:spPr>
        </c:majorGridlines>
        <c:numFmt formatCode="0" sourceLinked="0"/>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244469760"/>
        <c:crosses val="autoZero"/>
        <c:crossBetween val="between"/>
        <c:majorUnit val="10"/>
      </c:valAx>
      <c:spPr>
        <a:noFill/>
        <a:ln w="6350">
          <a:solidFill>
            <a:schemeClr val="bg1">
              <a:lumMod val="85000"/>
            </a:schemeClr>
          </a:solidFill>
        </a:ln>
        <a:effectLst/>
      </c:spPr>
    </c:plotArea>
    <c:legend>
      <c:legendPos val="t"/>
      <c:layout>
        <c:manualLayout>
          <c:xMode val="edge"/>
          <c:yMode val="edge"/>
          <c:x val="0.41977434640522876"/>
          <c:y val="1.7638888888888891E-2"/>
          <c:w val="0.16045130718954248"/>
          <c:h val="8.8014351851851885E-2"/>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85000"/>
        </a:schemeClr>
      </a:solidFill>
      <a:round/>
    </a:ln>
    <a:effectLst/>
  </c:spPr>
  <c:txPr>
    <a:bodyPr/>
    <a:lstStyle/>
    <a:p>
      <a:pPr>
        <a:defRPr>
          <a:solidFill>
            <a:schemeClr val="tx1">
              <a:lumMod val="65000"/>
              <a:lumOff val="35000"/>
            </a:schemeClr>
          </a:solidFill>
          <a:latin typeface="Arial Narrow" panose="020B0606020202030204" pitchFamily="34" charset="0"/>
        </a:defRPr>
      </a:pPr>
      <a:endParaRPr lang="it-IT"/>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9.7122792798860408E-2"/>
          <c:y val="0.18946296296296303"/>
          <c:w val="0.87232174103237092"/>
          <c:h val="0.62948749999999998"/>
        </c:manualLayout>
      </c:layout>
      <c:barChart>
        <c:barDir val="col"/>
        <c:grouping val="percentStacked"/>
        <c:ser>
          <c:idx val="0"/>
          <c:order val="0"/>
          <c:tx>
            <c:strRef>
              <c:f>'Fig. 3'!$B$5</c:f>
              <c:strCache>
                <c:ptCount val="1"/>
                <c:pt idx="0">
                  <c:v>Fino a 1.000</c:v>
                </c:pt>
              </c:strCache>
            </c:strRef>
          </c:tx>
          <c:spPr>
            <a:solidFill>
              <a:srgbClr val="741E12"/>
            </a:solidFill>
            <a:ln>
              <a:noFill/>
            </a:ln>
            <a:effectLst/>
          </c:spPr>
          <c:dLbls>
            <c:delete val="1"/>
          </c:dLbls>
          <c:cat>
            <c:multiLvlStrRef>
              <c:f>'Fig. 3'!$C$3:$F$4</c:f>
              <c:multiLvlStrCache>
                <c:ptCount val="4"/>
                <c:lvl>
                  <c:pt idx="0">
                    <c:v>1951</c:v>
                  </c:pt>
                  <c:pt idx="1">
                    <c:v>2019</c:v>
                  </c:pt>
                  <c:pt idx="2">
                    <c:v>1951</c:v>
                  </c:pt>
                  <c:pt idx="3">
                    <c:v>2019</c:v>
                  </c:pt>
                </c:lvl>
                <c:lvl>
                  <c:pt idx="0">
                    <c:v>Numero comuni</c:v>
                  </c:pt>
                  <c:pt idx="2">
                    <c:v>Popolazione</c:v>
                  </c:pt>
                </c:lvl>
              </c:multiLvlStrCache>
            </c:multiLvlStrRef>
          </c:cat>
          <c:val>
            <c:numRef>
              <c:f>'Fig. 3'!$C$5:$F$5</c:f>
              <c:numCache>
                <c:formatCode>General</c:formatCode>
                <c:ptCount val="4"/>
                <c:pt idx="0">
                  <c:v>3</c:v>
                </c:pt>
                <c:pt idx="1">
                  <c:v>31</c:v>
                </c:pt>
                <c:pt idx="2">
                  <c:v>2674</c:v>
                </c:pt>
                <c:pt idx="3">
                  <c:v>21249</c:v>
                </c:pt>
              </c:numCache>
            </c:numRef>
          </c:val>
          <c:extLst xmlns:c16r2="http://schemas.microsoft.com/office/drawing/2015/06/chart">
            <c:ext xmlns:c16="http://schemas.microsoft.com/office/drawing/2014/chart" uri="{C3380CC4-5D6E-409C-BE32-E72D297353CC}">
              <c16:uniqueId val="{00000000-6FFE-4471-AF1C-B986E2E74E72}"/>
            </c:ext>
          </c:extLst>
        </c:ser>
        <c:ser>
          <c:idx val="1"/>
          <c:order val="1"/>
          <c:tx>
            <c:strRef>
              <c:f>'Fig. 3'!$B$6</c:f>
              <c:strCache>
                <c:ptCount val="1"/>
                <c:pt idx="0">
                  <c:v>1.001 - 5.000</c:v>
                </c:pt>
              </c:strCache>
            </c:strRef>
          </c:tx>
          <c:spPr>
            <a:solidFill>
              <a:srgbClr val="C9321F"/>
            </a:solidFill>
            <a:ln>
              <a:noFill/>
            </a:ln>
            <a:effectLst/>
          </c:spPr>
          <c:dLbls>
            <c:delete val="1"/>
          </c:dLbls>
          <c:cat>
            <c:multiLvlStrRef>
              <c:f>'Fig. 3'!$C$3:$F$4</c:f>
              <c:multiLvlStrCache>
                <c:ptCount val="4"/>
                <c:lvl>
                  <c:pt idx="0">
                    <c:v>1951</c:v>
                  </c:pt>
                  <c:pt idx="1">
                    <c:v>2019</c:v>
                  </c:pt>
                  <c:pt idx="2">
                    <c:v>1951</c:v>
                  </c:pt>
                  <c:pt idx="3">
                    <c:v>2019</c:v>
                  </c:pt>
                </c:lvl>
                <c:lvl>
                  <c:pt idx="0">
                    <c:v>Numero comuni</c:v>
                  </c:pt>
                  <c:pt idx="2">
                    <c:v>Popolazione</c:v>
                  </c:pt>
                </c:lvl>
              </c:multiLvlStrCache>
            </c:multiLvlStrRef>
          </c:cat>
          <c:val>
            <c:numRef>
              <c:f>'Fig. 3'!$C$6:$F$6</c:f>
              <c:numCache>
                <c:formatCode>General</c:formatCode>
                <c:ptCount val="4"/>
                <c:pt idx="0">
                  <c:v>89</c:v>
                </c:pt>
                <c:pt idx="1">
                  <c:v>75</c:v>
                </c:pt>
                <c:pt idx="2">
                  <c:v>248867</c:v>
                </c:pt>
                <c:pt idx="3">
                  <c:v>187471</c:v>
                </c:pt>
              </c:numCache>
            </c:numRef>
          </c:val>
          <c:extLst xmlns:c16r2="http://schemas.microsoft.com/office/drawing/2015/06/chart">
            <c:ext xmlns:c16="http://schemas.microsoft.com/office/drawing/2014/chart" uri="{C3380CC4-5D6E-409C-BE32-E72D297353CC}">
              <c16:uniqueId val="{00000001-6FFE-4471-AF1C-B986E2E74E72}"/>
            </c:ext>
          </c:extLst>
        </c:ser>
        <c:ser>
          <c:idx val="2"/>
          <c:order val="2"/>
          <c:tx>
            <c:strRef>
              <c:f>'Fig. 3'!$B$7</c:f>
              <c:strCache>
                <c:ptCount val="1"/>
                <c:pt idx="0">
                  <c:v>5.001 - 10.000</c:v>
                </c:pt>
              </c:strCache>
            </c:strRef>
          </c:tx>
          <c:spPr>
            <a:solidFill>
              <a:srgbClr val="EC9084"/>
            </a:solidFill>
            <a:ln>
              <a:noFill/>
            </a:ln>
            <a:effectLst/>
          </c:spPr>
          <c:dLbls>
            <c:delete val="1"/>
          </c:dLbls>
          <c:cat>
            <c:multiLvlStrRef>
              <c:f>'Fig. 3'!$C$3:$F$4</c:f>
              <c:multiLvlStrCache>
                <c:ptCount val="4"/>
                <c:lvl>
                  <c:pt idx="0">
                    <c:v>1951</c:v>
                  </c:pt>
                  <c:pt idx="1">
                    <c:v>2019</c:v>
                  </c:pt>
                  <c:pt idx="2">
                    <c:v>1951</c:v>
                  </c:pt>
                  <c:pt idx="3">
                    <c:v>2019</c:v>
                  </c:pt>
                </c:lvl>
                <c:lvl>
                  <c:pt idx="0">
                    <c:v>Numero comuni</c:v>
                  </c:pt>
                  <c:pt idx="2">
                    <c:v>Popolazione</c:v>
                  </c:pt>
                </c:lvl>
              </c:multiLvlStrCache>
            </c:multiLvlStrRef>
          </c:cat>
          <c:val>
            <c:numRef>
              <c:f>'Fig. 3'!$C$7:$F$7</c:f>
              <c:numCache>
                <c:formatCode>General</c:formatCode>
                <c:ptCount val="4"/>
                <c:pt idx="0">
                  <c:v>27</c:v>
                </c:pt>
                <c:pt idx="1">
                  <c:v>14</c:v>
                </c:pt>
                <c:pt idx="2">
                  <c:v>183968</c:v>
                </c:pt>
                <c:pt idx="3">
                  <c:v>93215</c:v>
                </c:pt>
              </c:numCache>
            </c:numRef>
          </c:val>
          <c:extLst xmlns:c16r2="http://schemas.microsoft.com/office/drawing/2015/06/chart">
            <c:ext xmlns:c16="http://schemas.microsoft.com/office/drawing/2014/chart" uri="{C3380CC4-5D6E-409C-BE32-E72D297353CC}">
              <c16:uniqueId val="{00000002-6FFE-4471-AF1C-B986E2E74E72}"/>
            </c:ext>
          </c:extLst>
        </c:ser>
        <c:ser>
          <c:idx val="3"/>
          <c:order val="3"/>
          <c:tx>
            <c:strRef>
              <c:f>'Fig. 3'!$B$8</c:f>
              <c:strCache>
                <c:ptCount val="1"/>
                <c:pt idx="0">
                  <c:v>10.001 - 20.000</c:v>
                </c:pt>
              </c:strCache>
            </c:strRef>
          </c:tx>
          <c:spPr>
            <a:solidFill>
              <a:srgbClr val="D3D3D3"/>
            </a:solidFill>
            <a:ln>
              <a:noFill/>
            </a:ln>
            <a:effectLst/>
          </c:spPr>
          <c:dLbls>
            <c:delete val="1"/>
          </c:dLbls>
          <c:cat>
            <c:multiLvlStrRef>
              <c:f>'Fig. 3'!$C$3:$F$4</c:f>
              <c:multiLvlStrCache>
                <c:ptCount val="4"/>
                <c:lvl>
                  <c:pt idx="0">
                    <c:v>1951</c:v>
                  </c:pt>
                  <c:pt idx="1">
                    <c:v>2019</c:v>
                  </c:pt>
                  <c:pt idx="2">
                    <c:v>1951</c:v>
                  </c:pt>
                  <c:pt idx="3">
                    <c:v>2019</c:v>
                  </c:pt>
                </c:lvl>
                <c:lvl>
                  <c:pt idx="0">
                    <c:v>Numero comuni</c:v>
                  </c:pt>
                  <c:pt idx="2">
                    <c:v>Popolazione</c:v>
                  </c:pt>
                </c:lvl>
              </c:multiLvlStrCache>
            </c:multiLvlStrRef>
          </c:cat>
          <c:val>
            <c:numRef>
              <c:f>'Fig. 3'!$C$8:$F$8</c:f>
              <c:numCache>
                <c:formatCode>General</c:formatCode>
                <c:ptCount val="4"/>
                <c:pt idx="0">
                  <c:v>10</c:v>
                </c:pt>
                <c:pt idx="1">
                  <c:v>9</c:v>
                </c:pt>
                <c:pt idx="2">
                  <c:v>129113</c:v>
                </c:pt>
                <c:pt idx="3">
                  <c:v>124396</c:v>
                </c:pt>
              </c:numCache>
            </c:numRef>
          </c:val>
          <c:extLst xmlns:c16r2="http://schemas.microsoft.com/office/drawing/2015/06/chart">
            <c:ext xmlns:c16="http://schemas.microsoft.com/office/drawing/2014/chart" uri="{C3380CC4-5D6E-409C-BE32-E72D297353CC}">
              <c16:uniqueId val="{00000003-6FFE-4471-AF1C-B986E2E74E72}"/>
            </c:ext>
          </c:extLst>
        </c:ser>
        <c:ser>
          <c:idx val="4"/>
          <c:order val="4"/>
          <c:tx>
            <c:strRef>
              <c:f>'Fig. 3'!$B$9</c:f>
              <c:strCache>
                <c:ptCount val="1"/>
                <c:pt idx="0">
                  <c:v>20.001 - 50.000</c:v>
                </c:pt>
              </c:strCache>
            </c:strRef>
          </c:tx>
          <c:spPr>
            <a:solidFill>
              <a:srgbClr val="A5A5A5"/>
            </a:solidFill>
            <a:ln>
              <a:noFill/>
            </a:ln>
            <a:effectLst/>
          </c:spPr>
          <c:dLbls>
            <c:delete val="1"/>
          </c:dLbls>
          <c:cat>
            <c:multiLvlStrRef>
              <c:f>'Fig. 3'!$C$3:$F$4</c:f>
              <c:multiLvlStrCache>
                <c:ptCount val="4"/>
                <c:lvl>
                  <c:pt idx="0">
                    <c:v>1951</c:v>
                  </c:pt>
                  <c:pt idx="1">
                    <c:v>2019</c:v>
                  </c:pt>
                  <c:pt idx="2">
                    <c:v>1951</c:v>
                  </c:pt>
                  <c:pt idx="3">
                    <c:v>2019</c:v>
                  </c:pt>
                </c:lvl>
                <c:lvl>
                  <c:pt idx="0">
                    <c:v>Numero comuni</c:v>
                  </c:pt>
                  <c:pt idx="2">
                    <c:v>Popolazione</c:v>
                  </c:pt>
                </c:lvl>
              </c:multiLvlStrCache>
            </c:multiLvlStrRef>
          </c:cat>
          <c:val>
            <c:numRef>
              <c:f>'Fig. 3'!$C$9:$F$9</c:f>
              <c:numCache>
                <c:formatCode>General</c:formatCode>
                <c:ptCount val="4"/>
                <c:pt idx="0">
                  <c:v>2</c:v>
                </c:pt>
                <c:pt idx="1">
                  <c:v>0</c:v>
                </c:pt>
                <c:pt idx="2">
                  <c:v>62964</c:v>
                </c:pt>
                <c:pt idx="3">
                  <c:v>0</c:v>
                </c:pt>
              </c:numCache>
            </c:numRef>
          </c:val>
          <c:extLst xmlns:c16r2="http://schemas.microsoft.com/office/drawing/2015/06/chart">
            <c:ext xmlns:c16="http://schemas.microsoft.com/office/drawing/2014/chart" uri="{C3380CC4-5D6E-409C-BE32-E72D297353CC}">
              <c16:uniqueId val="{00000004-6FFE-4471-AF1C-B986E2E74E72}"/>
            </c:ext>
          </c:extLst>
        </c:ser>
        <c:ser>
          <c:idx val="5"/>
          <c:order val="5"/>
          <c:tx>
            <c:strRef>
              <c:f>'Fig. 3'!$B$10</c:f>
              <c:strCache>
                <c:ptCount val="1"/>
                <c:pt idx="0">
                  <c:v>Oltre 50.000</c:v>
                </c:pt>
              </c:strCache>
            </c:strRef>
          </c:tx>
          <c:spPr>
            <a:solidFill>
              <a:srgbClr val="5A5A5A"/>
            </a:solidFill>
            <a:ln>
              <a:noFill/>
            </a:ln>
            <a:effectLst/>
          </c:spPr>
          <c:dLbls>
            <c:delete val="1"/>
          </c:dLbls>
          <c:cat>
            <c:multiLvlStrRef>
              <c:f>'Fig. 3'!$C$3:$F$4</c:f>
              <c:multiLvlStrCache>
                <c:ptCount val="4"/>
                <c:lvl>
                  <c:pt idx="0">
                    <c:v>1951</c:v>
                  </c:pt>
                  <c:pt idx="1">
                    <c:v>2019</c:v>
                  </c:pt>
                  <c:pt idx="2">
                    <c:v>1951</c:v>
                  </c:pt>
                  <c:pt idx="3">
                    <c:v>2019</c:v>
                  </c:pt>
                </c:lvl>
                <c:lvl>
                  <c:pt idx="0">
                    <c:v>Numero comuni</c:v>
                  </c:pt>
                  <c:pt idx="2">
                    <c:v>Popolazione</c:v>
                  </c:pt>
                </c:lvl>
              </c:multiLvlStrCache>
            </c:multiLvlStrRef>
          </c:cat>
          <c:val>
            <c:numRef>
              <c:f>'Fig. 3'!$C$10:$F$10</c:f>
              <c:numCache>
                <c:formatCode>General</c:formatCode>
                <c:ptCount val="4"/>
                <c:pt idx="0">
                  <c:v>0</c:v>
                </c:pt>
                <c:pt idx="1">
                  <c:v>2</c:v>
                </c:pt>
                <c:pt idx="2">
                  <c:v>0</c:v>
                </c:pt>
                <c:pt idx="3">
                  <c:v>126923</c:v>
                </c:pt>
              </c:numCache>
            </c:numRef>
          </c:val>
          <c:extLst xmlns:c16r2="http://schemas.microsoft.com/office/drawing/2015/06/chart">
            <c:ext xmlns:c16="http://schemas.microsoft.com/office/drawing/2014/chart" uri="{C3380CC4-5D6E-409C-BE32-E72D297353CC}">
              <c16:uniqueId val="{00000005-6FFE-4471-AF1C-B986E2E74E72}"/>
            </c:ext>
          </c:extLst>
        </c:ser>
        <c:dLbls>
          <c:showVal val="1"/>
        </c:dLbls>
        <c:gapWidth val="60"/>
        <c:overlap val="100"/>
        <c:axId val="233187968"/>
        <c:axId val="233193856"/>
      </c:barChart>
      <c:catAx>
        <c:axId val="233187968"/>
        <c:scaling>
          <c:orientation val="minMax"/>
        </c:scaling>
        <c:axPos val="b"/>
        <c:numFmt formatCode="General" sourceLinked="1"/>
        <c:majorTickMark val="none"/>
        <c:tickLblPos val="nextTo"/>
        <c:spPr>
          <a:noFill/>
          <a:ln w="12700" cap="flat" cmpd="sng" algn="ctr">
            <a:solidFill>
              <a:schemeClr val="bg1">
                <a:lumMod val="6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233193856"/>
        <c:crosses val="autoZero"/>
        <c:auto val="1"/>
        <c:lblAlgn val="ctr"/>
        <c:lblOffset val="100"/>
      </c:catAx>
      <c:valAx>
        <c:axId val="233193856"/>
        <c:scaling>
          <c:orientation val="minMax"/>
        </c:scaling>
        <c:axPos val="l"/>
        <c:majorGridlines>
          <c:spPr>
            <a:ln w="6350" cap="flat" cmpd="sng" algn="ctr">
              <a:solidFill>
                <a:schemeClr val="bg1">
                  <a:lumMod val="85000"/>
                </a:schemeClr>
              </a:solidFill>
              <a:round/>
            </a:ln>
            <a:effectLst/>
          </c:spPr>
        </c:majorGridlines>
        <c:numFmt formatCode="0%" sourceLinked="1"/>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233187968"/>
        <c:crosses val="autoZero"/>
        <c:crossBetween val="between"/>
      </c:valAx>
      <c:spPr>
        <a:noFill/>
        <a:ln w="6350">
          <a:solidFill>
            <a:schemeClr val="bg1">
              <a:lumMod val="85000"/>
            </a:schemeClr>
          </a:solidFill>
        </a:ln>
        <a:effectLst/>
      </c:spPr>
    </c:plotArea>
    <c:legend>
      <c:legendPos val="t"/>
      <c:layout>
        <c:manualLayout>
          <c:xMode val="edge"/>
          <c:yMode val="edge"/>
          <c:x val="6.0794771241830116E-2"/>
          <c:y val="1.4361111111111114E-2"/>
          <c:w val="0.8676287730907527"/>
          <c:h val="0.13197870370370368"/>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legend>
    <c:plotVisOnly val="1"/>
    <c:dispBlanksAs val="gap"/>
  </c:chart>
  <c:spPr>
    <a:solidFill>
      <a:schemeClr val="bg1"/>
    </a:solidFill>
    <a:ln w="9525" cap="flat" cmpd="sng" algn="ctr">
      <a:noFill/>
      <a:round/>
    </a:ln>
    <a:effectLst/>
  </c:spPr>
  <c:txPr>
    <a:bodyPr/>
    <a:lstStyle/>
    <a:p>
      <a:pPr>
        <a:defRPr sz="800">
          <a:solidFill>
            <a:schemeClr val="tx1">
              <a:lumMod val="65000"/>
              <a:lumOff val="35000"/>
            </a:schemeClr>
          </a:solidFill>
          <a:latin typeface="Arial Narrow" panose="020B0606020202030204" pitchFamily="34" charset="0"/>
        </a:defRPr>
      </a:pPr>
      <a:endParaRPr lang="it-IT"/>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t-I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sz="800" b="1">
                <a:latin typeface="Arial Narrow" panose="020B0606020202030204" pitchFamily="34" charset="0"/>
              </a:rPr>
              <a:t>Maschi                                                                  Femmine</a:t>
            </a:r>
          </a:p>
        </c:rich>
      </c:tx>
      <c:layout>
        <c:manualLayout>
          <c:xMode val="edge"/>
          <c:yMode val="edge"/>
          <c:x val="0.13748856209150326"/>
          <c:y val="3.2563888888888892E-2"/>
        </c:manualLayout>
      </c:layout>
      <c:spPr>
        <a:noFill/>
        <a:ln>
          <a:noFill/>
        </a:ln>
        <a:effectLst/>
      </c:spPr>
    </c:title>
    <c:plotArea>
      <c:layout>
        <c:manualLayout>
          <c:layoutTarget val="inner"/>
          <c:xMode val="edge"/>
          <c:yMode val="edge"/>
          <c:x val="6.6308336740074539E-2"/>
          <c:y val="3.3938184892945304E-2"/>
          <c:w val="0.88837951689447414"/>
          <c:h val="0.83111391548082902"/>
        </c:manualLayout>
      </c:layout>
      <c:barChart>
        <c:barDir val="bar"/>
        <c:grouping val="clustered"/>
        <c:ser>
          <c:idx val="2"/>
          <c:order val="0"/>
          <c:tx>
            <c:strRef>
              <c:f>'Fig. 4 '!$B$29</c:f>
              <c:strCache>
                <c:ptCount val="1"/>
                <c:pt idx="0">
                  <c:v>2019</c:v>
                </c:pt>
              </c:strCache>
            </c:strRef>
          </c:tx>
          <c:spPr>
            <a:solidFill>
              <a:srgbClr val="D3D3D3"/>
            </a:solidFill>
            <a:ln>
              <a:solidFill>
                <a:schemeClr val="bg1">
                  <a:lumMod val="65000"/>
                </a:schemeClr>
              </a:solidFill>
            </a:ln>
            <a:effectLst/>
          </c:spPr>
          <c:cat>
            <c:strRef>
              <c:f>'Fig. 4 '!$D$22:$X$22</c:f>
              <c:strCache>
                <c:ptCount val="21"/>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85 - 89</c:v>
                </c:pt>
                <c:pt idx="18">
                  <c:v>90 - 94</c:v>
                </c:pt>
                <c:pt idx="19">
                  <c:v>95 - 99</c:v>
                </c:pt>
                <c:pt idx="20">
                  <c:v>100 +</c:v>
                </c:pt>
              </c:strCache>
            </c:strRef>
          </c:cat>
          <c:val>
            <c:numRef>
              <c:f>'Fig. 4 '!$D$29:$X$29</c:f>
              <c:numCache>
                <c:formatCode>General</c:formatCode>
                <c:ptCount val="21"/>
                <c:pt idx="0">
                  <c:v>1.6722879545380611</c:v>
                </c:pt>
                <c:pt idx="1">
                  <c:v>1.8718346365322256</c:v>
                </c:pt>
                <c:pt idx="2">
                  <c:v>2.1048198476649076</c:v>
                </c:pt>
                <c:pt idx="3">
                  <c:v>2.3609409059853159</c:v>
                </c:pt>
                <c:pt idx="4">
                  <c:v>2.4766201419239628</c:v>
                </c:pt>
                <c:pt idx="5">
                  <c:v>2.785881349253688</c:v>
                </c:pt>
                <c:pt idx="6">
                  <c:v>2.7913038134383132</c:v>
                </c:pt>
                <c:pt idx="7">
                  <c:v>2.9290344037277634</c:v>
                </c:pt>
                <c:pt idx="8">
                  <c:v>3.3284892653284026</c:v>
                </c:pt>
                <c:pt idx="9">
                  <c:v>3.7581291775567829</c:v>
                </c:pt>
                <c:pt idx="10">
                  <c:v>4.0482310114341722</c:v>
                </c:pt>
                <c:pt idx="11">
                  <c:v>4.0261796570833654</c:v>
                </c:pt>
                <c:pt idx="12">
                  <c:v>3.580272352301114</c:v>
                </c:pt>
                <c:pt idx="13">
                  <c:v>3.1900356798143346</c:v>
                </c:pt>
                <c:pt idx="14">
                  <c:v>2.8746290130753676</c:v>
                </c:pt>
                <c:pt idx="15">
                  <c:v>2.1420541017326582</c:v>
                </c:pt>
                <c:pt idx="16">
                  <c:v>2.2788809479913397</c:v>
                </c:pt>
                <c:pt idx="17">
                  <c:v>1.625293264937985</c:v>
                </c:pt>
                <c:pt idx="18">
                  <c:v>0.75209578240735742</c:v>
                </c:pt>
                <c:pt idx="19">
                  <c:v>0.19322047377877069</c:v>
                </c:pt>
                <c:pt idx="20">
                  <c:v>1.897862464618422E-2</c:v>
                </c:pt>
              </c:numCache>
            </c:numRef>
          </c:val>
          <c:extLst xmlns:c16r2="http://schemas.microsoft.com/office/drawing/2015/06/chart">
            <c:ext xmlns:c16="http://schemas.microsoft.com/office/drawing/2014/chart" uri="{C3380CC4-5D6E-409C-BE32-E72D297353CC}">
              <c16:uniqueId val="{00000000-F8FE-4C63-837F-EF600211E148}"/>
            </c:ext>
          </c:extLst>
        </c:ser>
        <c:ser>
          <c:idx val="0"/>
          <c:order val="1"/>
          <c:tx>
            <c:strRef>
              <c:f>'Fig. 4 '!$B$27</c:f>
              <c:strCache>
                <c:ptCount val="1"/>
                <c:pt idx="0">
                  <c:v>2011</c:v>
                </c:pt>
              </c:strCache>
            </c:strRef>
          </c:tx>
          <c:spPr>
            <a:noFill/>
            <a:ln w="9525">
              <a:solidFill>
                <a:srgbClr val="C9321F"/>
              </a:solidFill>
            </a:ln>
            <a:effectLst/>
          </c:spPr>
          <c:cat>
            <c:strRef>
              <c:f>'Fig. 4 '!$D$22:$X$22</c:f>
              <c:strCache>
                <c:ptCount val="21"/>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85 - 89</c:v>
                </c:pt>
                <c:pt idx="18">
                  <c:v>90 - 94</c:v>
                </c:pt>
                <c:pt idx="19">
                  <c:v>95 - 99</c:v>
                </c:pt>
                <c:pt idx="20">
                  <c:v>100 +</c:v>
                </c:pt>
              </c:strCache>
            </c:strRef>
          </c:cat>
          <c:val>
            <c:numRef>
              <c:f>'Fig. 4 '!$D$27:$X$27</c:f>
              <c:numCache>
                <c:formatCode>General</c:formatCode>
                <c:ptCount val="21"/>
                <c:pt idx="0">
                  <c:v>1.9412285739988517</c:v>
                </c:pt>
                <c:pt idx="1">
                  <c:v>2.1554020856832432</c:v>
                </c:pt>
                <c:pt idx="2">
                  <c:v>2.3022787508044478</c:v>
                </c:pt>
                <c:pt idx="3">
                  <c:v>2.60450906171934</c:v>
                </c:pt>
                <c:pt idx="4">
                  <c:v>2.9359763059740223</c:v>
                </c:pt>
                <c:pt idx="5">
                  <c:v>3.0283580953435427</c:v>
                </c:pt>
                <c:pt idx="6">
                  <c:v>3.1261028724854514</c:v>
                </c:pt>
                <c:pt idx="7">
                  <c:v>3.5636188749489648</c:v>
                </c:pt>
                <c:pt idx="8">
                  <c:v>3.8359202541018198</c:v>
                </c:pt>
                <c:pt idx="9">
                  <c:v>3.9296860403158278</c:v>
                </c:pt>
                <c:pt idx="10">
                  <c:v>3.6252067345286441</c:v>
                </c:pt>
                <c:pt idx="11">
                  <c:v>3.2937394902739632</c:v>
                </c:pt>
                <c:pt idx="12">
                  <c:v>3.1560318042474869</c:v>
                </c:pt>
                <c:pt idx="13">
                  <c:v>2.2967427634264994</c:v>
                </c:pt>
                <c:pt idx="14">
                  <c:v>2.7224947927118737</c:v>
                </c:pt>
                <c:pt idx="15">
                  <c:v>2.6024330664526092</c:v>
                </c:pt>
                <c:pt idx="16">
                  <c:v>2.106097198098388</c:v>
                </c:pt>
                <c:pt idx="17">
                  <c:v>1.2756990914060711</c:v>
                </c:pt>
                <c:pt idx="18">
                  <c:v>0.43751600246351441</c:v>
                </c:pt>
                <c:pt idx="19">
                  <c:v>0.12473271560940842</c:v>
                </c:pt>
                <c:pt idx="20">
                  <c:v>1.5569964500480938E-2</c:v>
                </c:pt>
              </c:numCache>
            </c:numRef>
          </c:val>
          <c:extLst xmlns:c16r2="http://schemas.microsoft.com/office/drawing/2015/06/chart">
            <c:ext xmlns:c16="http://schemas.microsoft.com/office/drawing/2014/chart" uri="{C3380CC4-5D6E-409C-BE32-E72D297353CC}">
              <c16:uniqueId val="{00000001-F8FE-4C63-837F-EF600211E148}"/>
            </c:ext>
          </c:extLst>
        </c:ser>
        <c:ser>
          <c:idx val="3"/>
          <c:order val="2"/>
          <c:tx>
            <c:strRef>
              <c:f>'Fig. 4 '!$B$30</c:f>
              <c:strCache>
                <c:ptCount val="1"/>
                <c:pt idx="0">
                  <c:v>2019</c:v>
                </c:pt>
              </c:strCache>
            </c:strRef>
          </c:tx>
          <c:spPr>
            <a:solidFill>
              <a:srgbClr val="D3D3D3"/>
            </a:solidFill>
            <a:ln>
              <a:solidFill>
                <a:schemeClr val="bg1">
                  <a:lumMod val="65000"/>
                </a:schemeClr>
              </a:solidFill>
            </a:ln>
            <a:effectLst/>
          </c:spPr>
          <c:cat>
            <c:strRef>
              <c:f>'Fig. 4 '!$D$22:$X$22</c:f>
              <c:strCache>
                <c:ptCount val="21"/>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85 - 89</c:v>
                </c:pt>
                <c:pt idx="18">
                  <c:v>90 - 94</c:v>
                </c:pt>
                <c:pt idx="19">
                  <c:v>95 - 99</c:v>
                </c:pt>
                <c:pt idx="20">
                  <c:v>100 +</c:v>
                </c:pt>
              </c:strCache>
            </c:strRef>
          </c:cat>
          <c:val>
            <c:numRef>
              <c:f>'Fig. 4 '!$D$30:$X$30</c:f>
              <c:numCache>
                <c:formatCode>General</c:formatCode>
                <c:ptCount val="21"/>
                <c:pt idx="0">
                  <c:v>-1.7856174559967035</c:v>
                </c:pt>
                <c:pt idx="1">
                  <c:v>-1.9922133414308805</c:v>
                </c:pt>
                <c:pt idx="2">
                  <c:v>-2.2763504647051795</c:v>
                </c:pt>
                <c:pt idx="3">
                  <c:v>-2.5695250282871882</c:v>
                </c:pt>
                <c:pt idx="4">
                  <c:v>-2.7904000694075415</c:v>
                </c:pt>
                <c:pt idx="5">
                  <c:v>-3.00585264634327</c:v>
                </c:pt>
                <c:pt idx="6">
                  <c:v>-3.0262772614386884</c:v>
                </c:pt>
                <c:pt idx="7">
                  <c:v>-3.0389296778694783</c:v>
                </c:pt>
                <c:pt idx="8">
                  <c:v>-3.3966315652485117</c:v>
                </c:pt>
                <c:pt idx="9">
                  <c:v>-3.6995665643628426</c:v>
                </c:pt>
                <c:pt idx="10">
                  <c:v>-3.9291175481785956</c:v>
                </c:pt>
                <c:pt idx="11">
                  <c:v>-3.8701934373723472</c:v>
                </c:pt>
                <c:pt idx="12">
                  <c:v>-3.38777487374696</c:v>
                </c:pt>
                <c:pt idx="13">
                  <c:v>-3.0035029118632668</c:v>
                </c:pt>
                <c:pt idx="14">
                  <c:v>-2.5767549805333538</c:v>
                </c:pt>
                <c:pt idx="15">
                  <c:v>-1.7702538074736021</c:v>
                </c:pt>
                <c:pt idx="16">
                  <c:v>-1.6355959468887713</c:v>
                </c:pt>
                <c:pt idx="17">
                  <c:v>-0.98652698398927041</c:v>
                </c:pt>
                <c:pt idx="18">
                  <c:v>-0.36493183962519926</c:v>
                </c:pt>
                <c:pt idx="19">
                  <c:v>-8.1156213963206797E-2</c:v>
                </c:pt>
                <c:pt idx="20">
                  <c:v>-3.6149761230827083E-3</c:v>
                </c:pt>
              </c:numCache>
            </c:numRef>
          </c:val>
          <c:extLst xmlns:c16r2="http://schemas.microsoft.com/office/drawing/2015/06/chart">
            <c:ext xmlns:c16="http://schemas.microsoft.com/office/drawing/2014/chart" uri="{C3380CC4-5D6E-409C-BE32-E72D297353CC}">
              <c16:uniqueId val="{00000002-F8FE-4C63-837F-EF600211E148}"/>
            </c:ext>
          </c:extLst>
        </c:ser>
        <c:ser>
          <c:idx val="1"/>
          <c:order val="3"/>
          <c:tx>
            <c:strRef>
              <c:f>'Fig. 4 '!$B$28</c:f>
              <c:strCache>
                <c:ptCount val="1"/>
                <c:pt idx="0">
                  <c:v>2011</c:v>
                </c:pt>
              </c:strCache>
            </c:strRef>
          </c:tx>
          <c:spPr>
            <a:noFill/>
            <a:ln w="9525">
              <a:solidFill>
                <a:srgbClr val="C9321F"/>
              </a:solidFill>
            </a:ln>
            <a:effectLst/>
          </c:spPr>
          <c:cat>
            <c:strRef>
              <c:f>'Fig. 4 '!$D$22:$X$22</c:f>
              <c:strCache>
                <c:ptCount val="21"/>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85 - 89</c:v>
                </c:pt>
                <c:pt idx="18">
                  <c:v>90 - 94</c:v>
                </c:pt>
                <c:pt idx="19">
                  <c:v>95 - 99</c:v>
                </c:pt>
                <c:pt idx="20">
                  <c:v>100 +</c:v>
                </c:pt>
              </c:strCache>
            </c:strRef>
          </c:cat>
          <c:val>
            <c:numRef>
              <c:f>'Fig. 4 '!$D$28:$X$28</c:f>
              <c:numCache>
                <c:formatCode>General</c:formatCode>
                <c:ptCount val="21"/>
                <c:pt idx="0">
                  <c:v>-2.0820502529254239</c:v>
                </c:pt>
                <c:pt idx="1">
                  <c:v>-2.2880927831484552</c:v>
                </c:pt>
                <c:pt idx="2">
                  <c:v>-2.5187012573611351</c:v>
                </c:pt>
                <c:pt idx="3">
                  <c:v>-2.7631497000186842</c:v>
                </c:pt>
                <c:pt idx="4">
                  <c:v>-3.081468974250738</c:v>
                </c:pt>
                <c:pt idx="5">
                  <c:v>-3.1655467825533372</c:v>
                </c:pt>
                <c:pt idx="6">
                  <c:v>-3.228518638977504</c:v>
                </c:pt>
                <c:pt idx="7">
                  <c:v>-3.5912988118387079</c:v>
                </c:pt>
                <c:pt idx="8">
                  <c:v>-3.7501124497436145</c:v>
                </c:pt>
                <c:pt idx="9">
                  <c:v>-3.8516632182078627</c:v>
                </c:pt>
                <c:pt idx="10">
                  <c:v>-3.4454601443508701</c:v>
                </c:pt>
                <c:pt idx="11">
                  <c:v>-3.2179656630382873</c:v>
                </c:pt>
                <c:pt idx="12">
                  <c:v>-3.0396030697050005</c:v>
                </c:pt>
                <c:pt idx="13">
                  <c:v>-2.0915652312312729</c:v>
                </c:pt>
                <c:pt idx="14">
                  <c:v>-2.3121397283214202</c:v>
                </c:pt>
                <c:pt idx="15">
                  <c:v>-2.0183863980790133</c:v>
                </c:pt>
                <c:pt idx="16">
                  <c:v>-1.4556186811894058</c:v>
                </c:pt>
                <c:pt idx="17">
                  <c:v>-0.75843027077898262</c:v>
                </c:pt>
                <c:pt idx="18">
                  <c:v>-0.19912254600059504</c:v>
                </c:pt>
                <c:pt idx="19">
                  <c:v>-5.3629877723878776E-2</c:v>
                </c:pt>
                <c:pt idx="20">
                  <c:v>-8.1309814613622685E-3</c:v>
                </c:pt>
              </c:numCache>
            </c:numRef>
          </c:val>
          <c:extLst xmlns:c16r2="http://schemas.microsoft.com/office/drawing/2015/06/chart">
            <c:ext xmlns:c16="http://schemas.microsoft.com/office/drawing/2014/chart" uri="{C3380CC4-5D6E-409C-BE32-E72D297353CC}">
              <c16:uniqueId val="{00000003-F8FE-4C63-837F-EF600211E148}"/>
            </c:ext>
          </c:extLst>
        </c:ser>
        <c:gapWidth val="0"/>
        <c:overlap val="100"/>
        <c:axId val="233227392"/>
        <c:axId val="233228928"/>
      </c:barChart>
      <c:catAx>
        <c:axId val="233227392"/>
        <c:scaling>
          <c:orientation val="minMax"/>
        </c:scaling>
        <c:axPos val="l"/>
        <c:numFmt formatCode="General" sourceLinked="1"/>
        <c:majorTickMark val="none"/>
        <c:tickLblPos val="low"/>
        <c:spPr>
          <a:noFill/>
          <a:ln w="9525" cap="flat" cmpd="sng" algn="ctr">
            <a:solidFill>
              <a:srgbClr val="5A5A5A"/>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233228928"/>
        <c:crosses val="autoZero"/>
        <c:auto val="1"/>
        <c:lblAlgn val="ctr"/>
        <c:lblOffset val="100"/>
      </c:catAx>
      <c:valAx>
        <c:axId val="233228928"/>
        <c:scaling>
          <c:orientation val="minMax"/>
          <c:max val="5"/>
          <c:min val="-5"/>
        </c:scaling>
        <c:axPos val="b"/>
        <c:majorGridlines>
          <c:spPr>
            <a:ln w="9525" cap="flat" cmpd="sng" algn="ctr">
              <a:solidFill>
                <a:schemeClr val="tx1">
                  <a:lumMod val="15000"/>
                  <a:lumOff val="85000"/>
                </a:schemeClr>
              </a:solidFill>
              <a:round/>
            </a:ln>
            <a:effectLst/>
          </c:spPr>
        </c:majorGridlines>
        <c:numFmt formatCode="0;0" sourceLinked="0"/>
        <c:tickLblPos val="nextTo"/>
        <c:spPr>
          <a:noFill/>
          <a:ln>
            <a:solidFill>
              <a:schemeClr val="bg1">
                <a:lumMod val="65000"/>
              </a:schemeClr>
            </a:solid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233227392"/>
        <c:crosses val="autoZero"/>
        <c:crossBetween val="between"/>
        <c:majorUnit val="2"/>
        <c:minorUnit val="1"/>
      </c:valAx>
      <c:spPr>
        <a:noFill/>
        <a:ln>
          <a:noFill/>
        </a:ln>
        <a:effectLst/>
      </c:spPr>
    </c:plotArea>
    <c:legend>
      <c:legendPos val="b"/>
      <c:legendEntry>
        <c:idx val="3"/>
        <c:delete val="1"/>
      </c:legendEntry>
      <c:legendEntry>
        <c:idx val="2"/>
        <c:delete val="1"/>
      </c:legendEntry>
      <c:layout>
        <c:manualLayout>
          <c:xMode val="edge"/>
          <c:yMode val="edge"/>
          <c:x val="0.35257222222222223"/>
          <c:y val="0.926134126984127"/>
          <c:w val="0.3430117962117038"/>
          <c:h val="7.0454477856101899E-2"/>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it-IT"/>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t-I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sz="800" b="1">
                <a:latin typeface="Arial Narrow" panose="020B0606020202030204" pitchFamily="34" charset="0"/>
              </a:rPr>
              <a:t>Maschi                                                            Femmine</a:t>
            </a:r>
          </a:p>
        </c:rich>
      </c:tx>
      <c:layout>
        <c:manualLayout>
          <c:xMode val="edge"/>
          <c:yMode val="edge"/>
          <c:x val="0.19819117647058818"/>
          <c:y val="2.5353174603174614E-2"/>
        </c:manualLayout>
      </c:layout>
      <c:overlay val="1"/>
      <c:spPr>
        <a:noFill/>
        <a:ln>
          <a:noFill/>
        </a:ln>
        <a:effectLst/>
      </c:spPr>
    </c:title>
    <c:plotArea>
      <c:layout>
        <c:manualLayout>
          <c:layoutTarget val="inner"/>
          <c:xMode val="edge"/>
          <c:yMode val="edge"/>
          <c:x val="9.8091869441827739E-2"/>
          <c:y val="1.9921293522614122E-2"/>
          <c:w val="0.85659598419272087"/>
          <c:h val="0.83222579365079385"/>
        </c:manualLayout>
      </c:layout>
      <c:barChart>
        <c:barDir val="bar"/>
        <c:grouping val="clustered"/>
        <c:ser>
          <c:idx val="0"/>
          <c:order val="0"/>
          <c:tx>
            <c:strRef>
              <c:f>'Fig. 4 '!$B$25</c:f>
              <c:strCache>
                <c:ptCount val="1"/>
                <c:pt idx="0">
                  <c:v>2019</c:v>
                </c:pt>
              </c:strCache>
            </c:strRef>
          </c:tx>
          <c:spPr>
            <a:solidFill>
              <a:srgbClr val="D3D3D3"/>
            </a:solidFill>
            <a:ln>
              <a:solidFill>
                <a:schemeClr val="bg1">
                  <a:lumMod val="65000"/>
                </a:schemeClr>
              </a:solidFill>
            </a:ln>
            <a:effectLst/>
          </c:spPr>
          <c:cat>
            <c:strRef>
              <c:f>'Fig. 4 '!$D$22:$X$22</c:f>
              <c:strCache>
                <c:ptCount val="21"/>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85 - 89</c:v>
                </c:pt>
                <c:pt idx="18">
                  <c:v>90 - 94</c:v>
                </c:pt>
                <c:pt idx="19">
                  <c:v>95 - 99</c:v>
                </c:pt>
                <c:pt idx="20">
                  <c:v>100 +</c:v>
                </c:pt>
              </c:strCache>
            </c:strRef>
          </c:cat>
          <c:val>
            <c:numRef>
              <c:f>'Fig. 4 '!$D$25:$X$25</c:f>
              <c:numCache>
                <c:formatCode>General</c:formatCode>
                <c:ptCount val="21"/>
                <c:pt idx="0">
                  <c:v>1.8466004738178232</c:v>
                </c:pt>
                <c:pt idx="1">
                  <c:v>2.1389741315642561</c:v>
                </c:pt>
                <c:pt idx="2">
                  <c:v>2.3047899140276313</c:v>
                </c:pt>
                <c:pt idx="3">
                  <c:v>2.3231999174802613</c:v>
                </c:pt>
                <c:pt idx="4">
                  <c:v>2.3588747483966204</c:v>
                </c:pt>
                <c:pt idx="5">
                  <c:v>2.553675387844113</c:v>
                </c:pt>
                <c:pt idx="6">
                  <c:v>2.7224203393449877</c:v>
                </c:pt>
                <c:pt idx="7">
                  <c:v>2.983175067664309</c:v>
                </c:pt>
                <c:pt idx="8">
                  <c:v>3.5181315395752701</c:v>
                </c:pt>
                <c:pt idx="9">
                  <c:v>4.0122489901660403</c:v>
                </c:pt>
                <c:pt idx="10">
                  <c:v>4.1457047483456462</c:v>
                </c:pt>
                <c:pt idx="11">
                  <c:v>3.8974262345701365</c:v>
                </c:pt>
                <c:pt idx="12">
                  <c:v>3.384268346893021</c:v>
                </c:pt>
                <c:pt idx="13">
                  <c:v>3.048673098162809</c:v>
                </c:pt>
                <c:pt idx="14">
                  <c:v>2.9661466528132228</c:v>
                </c:pt>
                <c:pt idx="15">
                  <c:v>2.4526215710781729</c:v>
                </c:pt>
                <c:pt idx="16">
                  <c:v>2.1809465920769791</c:v>
                </c:pt>
                <c:pt idx="17">
                  <c:v>1.4902629525272744</c:v>
                </c:pt>
                <c:pt idx="18">
                  <c:v>0.73309706826898779</c:v>
                </c:pt>
                <c:pt idx="19">
                  <c:v>0.20998470058292326</c:v>
                </c:pt>
                <c:pt idx="20">
                  <c:v>2.0911617765136926E-2</c:v>
                </c:pt>
              </c:numCache>
            </c:numRef>
          </c:val>
          <c:extLst xmlns:c16r2="http://schemas.microsoft.com/office/drawing/2015/06/chart">
            <c:ext xmlns:c16="http://schemas.microsoft.com/office/drawing/2014/chart" uri="{C3380CC4-5D6E-409C-BE32-E72D297353CC}">
              <c16:uniqueId val="{00000000-B1B3-4D56-A1A7-0A5BEB1F4A1D}"/>
            </c:ext>
          </c:extLst>
        </c:ser>
        <c:ser>
          <c:idx val="2"/>
          <c:order val="1"/>
          <c:tx>
            <c:strRef>
              <c:f>'Fig. 4 '!$B$23</c:f>
              <c:strCache>
                <c:ptCount val="1"/>
                <c:pt idx="0">
                  <c:v>2011</c:v>
                </c:pt>
              </c:strCache>
            </c:strRef>
          </c:tx>
          <c:spPr>
            <a:noFill/>
            <a:ln w="9525">
              <a:solidFill>
                <a:srgbClr val="C9321F"/>
              </a:solidFill>
            </a:ln>
            <a:effectLst/>
          </c:spPr>
          <c:cat>
            <c:strRef>
              <c:f>'Fig. 4 '!$D$22:$X$22</c:f>
              <c:strCache>
                <c:ptCount val="21"/>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85 - 89</c:v>
                </c:pt>
                <c:pt idx="18">
                  <c:v>90 - 94</c:v>
                </c:pt>
                <c:pt idx="19">
                  <c:v>95 - 99</c:v>
                </c:pt>
                <c:pt idx="20">
                  <c:v>100 +</c:v>
                </c:pt>
              </c:strCache>
            </c:strRef>
          </c:cat>
          <c:val>
            <c:numRef>
              <c:f>'Fig. 4 '!$D$23:$X$23</c:f>
              <c:numCache>
                <c:formatCode>General</c:formatCode>
                <c:ptCount val="21"/>
                <c:pt idx="0">
                  <c:v>2.2480545731731119</c:v>
                </c:pt>
                <c:pt idx="1">
                  <c:v>2.2710802132875898</c:v>
                </c:pt>
                <c:pt idx="2">
                  <c:v>2.2800498652751879</c:v>
                </c:pt>
                <c:pt idx="3">
                  <c:v>2.3388447478590613</c:v>
                </c:pt>
                <c:pt idx="4">
                  <c:v>2.516455971543706</c:v>
                </c:pt>
                <c:pt idx="5">
                  <c:v>2.750731974751583</c:v>
                </c:pt>
                <c:pt idx="6">
                  <c:v>3.1928495031374773</c:v>
                </c:pt>
                <c:pt idx="7">
                  <c:v>3.8574416580587609</c:v>
                </c:pt>
                <c:pt idx="8">
                  <c:v>4.067221476069216</c:v>
                </c:pt>
                <c:pt idx="9">
                  <c:v>4.0658316931876284</c:v>
                </c:pt>
                <c:pt idx="10">
                  <c:v>3.5678519596544351</c:v>
                </c:pt>
                <c:pt idx="11">
                  <c:v>3.2247791759509559</c:v>
                </c:pt>
                <c:pt idx="12">
                  <c:v>3.2561451959008325</c:v>
                </c:pt>
                <c:pt idx="13">
                  <c:v>2.756188470980391</c:v>
                </c:pt>
                <c:pt idx="14">
                  <c:v>2.834897966380848</c:v>
                </c:pt>
                <c:pt idx="15">
                  <c:v>2.4128784483104404</c:v>
                </c:pt>
                <c:pt idx="16">
                  <c:v>2.0115946254370245</c:v>
                </c:pt>
                <c:pt idx="17">
                  <c:v>1.3323845120711224</c:v>
                </c:pt>
                <c:pt idx="18">
                  <c:v>0.47986712733426345</c:v>
                </c:pt>
                <c:pt idx="19">
                  <c:v>0.14798495615554694</c:v>
                </c:pt>
                <c:pt idx="20">
                  <c:v>2.1232046226130404E-2</c:v>
                </c:pt>
              </c:numCache>
            </c:numRef>
          </c:val>
          <c:extLst xmlns:c16r2="http://schemas.microsoft.com/office/drawing/2015/06/chart">
            <c:ext xmlns:c16="http://schemas.microsoft.com/office/drawing/2014/chart" uri="{C3380CC4-5D6E-409C-BE32-E72D297353CC}">
              <c16:uniqueId val="{00000001-B1B3-4D56-A1A7-0A5BEB1F4A1D}"/>
            </c:ext>
          </c:extLst>
        </c:ser>
        <c:ser>
          <c:idx val="1"/>
          <c:order val="2"/>
          <c:tx>
            <c:strRef>
              <c:f>'Fig. 4 '!$B$26</c:f>
              <c:strCache>
                <c:ptCount val="1"/>
                <c:pt idx="0">
                  <c:v>2019</c:v>
                </c:pt>
              </c:strCache>
            </c:strRef>
          </c:tx>
          <c:spPr>
            <a:solidFill>
              <a:srgbClr val="D3D3D3"/>
            </a:solidFill>
            <a:ln>
              <a:solidFill>
                <a:schemeClr val="bg1">
                  <a:lumMod val="65000"/>
                </a:schemeClr>
              </a:solidFill>
            </a:ln>
            <a:effectLst/>
          </c:spPr>
          <c:cat>
            <c:strRef>
              <c:f>'Fig. 4 '!$D$22:$X$22</c:f>
              <c:strCache>
                <c:ptCount val="21"/>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85 - 89</c:v>
                </c:pt>
                <c:pt idx="18">
                  <c:v>90 - 94</c:v>
                </c:pt>
                <c:pt idx="19">
                  <c:v>95 - 99</c:v>
                </c:pt>
                <c:pt idx="20">
                  <c:v>100 +</c:v>
                </c:pt>
              </c:strCache>
            </c:strRef>
          </c:cat>
          <c:val>
            <c:numRef>
              <c:f>'Fig. 4 '!$D$26:$X$26</c:f>
              <c:numCache>
                <c:formatCode>General</c:formatCode>
                <c:ptCount val="21"/>
                <c:pt idx="0">
                  <c:v>-1.9503168666750907</c:v>
                </c:pt>
                <c:pt idx="1">
                  <c:v>-2.267280789506795</c:v>
                </c:pt>
                <c:pt idx="2">
                  <c:v>-2.4487132178861812</c:v>
                </c:pt>
                <c:pt idx="3">
                  <c:v>-2.4906571747505684</c:v>
                </c:pt>
                <c:pt idx="4">
                  <c:v>-2.5972189023855341</c:v>
                </c:pt>
                <c:pt idx="5">
                  <c:v>-2.6918241878874651</c:v>
                </c:pt>
                <c:pt idx="6">
                  <c:v>-2.7811998922629186</c:v>
                </c:pt>
                <c:pt idx="7">
                  <c:v>-3.0062646994991127</c:v>
                </c:pt>
                <c:pt idx="8">
                  <c:v>-3.5029273582174896</c:v>
                </c:pt>
                <c:pt idx="9">
                  <c:v>-3.9516116700508874</c:v>
                </c:pt>
                <c:pt idx="10">
                  <c:v>-4.0309926539726861</c:v>
                </c:pt>
                <c:pt idx="11">
                  <c:v>-3.7105177523404533</c:v>
                </c:pt>
                <c:pt idx="12">
                  <c:v>-3.1436539611486554</c:v>
                </c:pt>
                <c:pt idx="13">
                  <c:v>-2.771124690919851</c:v>
                </c:pt>
                <c:pt idx="14">
                  <c:v>-2.607758545527906</c:v>
                </c:pt>
                <c:pt idx="15">
                  <c:v>-1.9805558841858548</c:v>
                </c:pt>
                <c:pt idx="16">
                  <c:v>-1.5606367835758894</c:v>
                </c:pt>
                <c:pt idx="17">
                  <c:v>-0.8514358327210082</c:v>
                </c:pt>
                <c:pt idx="18">
                  <c:v>-0.30034461916845556</c:v>
                </c:pt>
                <c:pt idx="19">
                  <c:v>-5.8920394474396766E-2</c:v>
                </c:pt>
                <c:pt idx="20">
                  <c:v>-3.9100298771888456E-3</c:v>
                </c:pt>
              </c:numCache>
            </c:numRef>
          </c:val>
          <c:extLst xmlns:c16r2="http://schemas.microsoft.com/office/drawing/2015/06/chart">
            <c:ext xmlns:c16="http://schemas.microsoft.com/office/drawing/2014/chart" uri="{C3380CC4-5D6E-409C-BE32-E72D297353CC}">
              <c16:uniqueId val="{00000002-B1B3-4D56-A1A7-0A5BEB1F4A1D}"/>
            </c:ext>
          </c:extLst>
        </c:ser>
        <c:ser>
          <c:idx val="3"/>
          <c:order val="3"/>
          <c:tx>
            <c:strRef>
              <c:f>'Fig. 4 '!$B$24</c:f>
              <c:strCache>
                <c:ptCount val="1"/>
                <c:pt idx="0">
                  <c:v>2011</c:v>
                </c:pt>
              </c:strCache>
            </c:strRef>
          </c:tx>
          <c:spPr>
            <a:noFill/>
            <a:ln w="9525">
              <a:solidFill>
                <a:srgbClr val="C9321F"/>
              </a:solidFill>
            </a:ln>
            <a:effectLst/>
          </c:spPr>
          <c:cat>
            <c:strRef>
              <c:f>'Fig. 4 '!$D$22:$X$22</c:f>
              <c:strCache>
                <c:ptCount val="21"/>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85 - 89</c:v>
                </c:pt>
                <c:pt idx="18">
                  <c:v>90 - 94</c:v>
                </c:pt>
                <c:pt idx="19">
                  <c:v>95 - 99</c:v>
                </c:pt>
                <c:pt idx="20">
                  <c:v>100 +</c:v>
                </c:pt>
              </c:strCache>
            </c:strRef>
          </c:cat>
          <c:val>
            <c:numRef>
              <c:f>'Fig. 4 '!$D$24:$X$24</c:f>
              <c:numCache>
                <c:formatCode>General</c:formatCode>
                <c:ptCount val="21"/>
                <c:pt idx="0">
                  <c:v>-2.3788254026197628</c:v>
                </c:pt>
                <c:pt idx="1">
                  <c:v>-2.408239669370317</c:v>
                </c:pt>
                <c:pt idx="2">
                  <c:v>-2.4226994685039531</c:v>
                </c:pt>
                <c:pt idx="3">
                  <c:v>-2.4891617125786332</c:v>
                </c:pt>
                <c:pt idx="4">
                  <c:v>-2.6192612062265512</c:v>
                </c:pt>
                <c:pt idx="5">
                  <c:v>-2.7605176614820044</c:v>
                </c:pt>
                <c:pt idx="6">
                  <c:v>-3.1694839887589792</c:v>
                </c:pt>
                <c:pt idx="7">
                  <c:v>-3.8219769563902961</c:v>
                </c:pt>
                <c:pt idx="8">
                  <c:v>-4.0015702190997757</c:v>
                </c:pt>
                <c:pt idx="9">
                  <c:v>-3.9637533183169493</c:v>
                </c:pt>
                <c:pt idx="10">
                  <c:v>-3.4084795331083293</c:v>
                </c:pt>
                <c:pt idx="11">
                  <c:v>-3.0436110503151212</c:v>
                </c:pt>
                <c:pt idx="12">
                  <c:v>-3.0367984221219517</c:v>
                </c:pt>
                <c:pt idx="13">
                  <c:v>-2.493403410695445</c:v>
                </c:pt>
                <c:pt idx="14">
                  <c:v>-2.4020765038796803</c:v>
                </c:pt>
                <c:pt idx="15">
                  <c:v>-1.8211607197419699</c:v>
                </c:pt>
                <c:pt idx="16">
                  <c:v>-1.2606542169041206</c:v>
                </c:pt>
                <c:pt idx="17">
                  <c:v>-0.64122832308864841</c:v>
                </c:pt>
                <c:pt idx="18">
                  <c:v>-0.17818665436927547</c:v>
                </c:pt>
                <c:pt idx="19">
                  <c:v>-4.0406338863659672E-2</c:v>
                </c:pt>
                <c:pt idx="20">
                  <c:v>-4.139062819263079E-3</c:v>
                </c:pt>
              </c:numCache>
            </c:numRef>
          </c:val>
          <c:extLst xmlns:c16r2="http://schemas.microsoft.com/office/drawing/2015/06/chart">
            <c:ext xmlns:c16="http://schemas.microsoft.com/office/drawing/2014/chart" uri="{C3380CC4-5D6E-409C-BE32-E72D297353CC}">
              <c16:uniqueId val="{00000003-B1B3-4D56-A1A7-0A5BEB1F4A1D}"/>
            </c:ext>
          </c:extLst>
        </c:ser>
        <c:gapWidth val="0"/>
        <c:overlap val="100"/>
        <c:axId val="234318848"/>
        <c:axId val="234332928"/>
      </c:barChart>
      <c:catAx>
        <c:axId val="234318848"/>
        <c:scaling>
          <c:orientation val="minMax"/>
        </c:scaling>
        <c:axPos val="l"/>
        <c:numFmt formatCode="General" sourceLinked="1"/>
        <c:majorTickMark val="none"/>
        <c:tickLblPos val="low"/>
        <c:spPr>
          <a:noFill/>
          <a:ln w="9525" cap="flat" cmpd="sng" algn="ctr">
            <a:solidFill>
              <a:srgbClr val="5A5A5A"/>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234332928"/>
        <c:crosses val="autoZero"/>
        <c:auto val="1"/>
        <c:lblAlgn val="ctr"/>
        <c:lblOffset val="100"/>
      </c:catAx>
      <c:valAx>
        <c:axId val="234332928"/>
        <c:scaling>
          <c:orientation val="minMax"/>
          <c:max val="5"/>
          <c:min val="-5"/>
        </c:scaling>
        <c:axPos val="b"/>
        <c:majorGridlines>
          <c:spPr>
            <a:ln w="9525" cap="flat" cmpd="sng" algn="ctr">
              <a:solidFill>
                <a:schemeClr val="tx1">
                  <a:lumMod val="15000"/>
                  <a:lumOff val="85000"/>
                </a:schemeClr>
              </a:solidFill>
              <a:round/>
            </a:ln>
            <a:effectLst/>
          </c:spPr>
        </c:majorGridlines>
        <c:numFmt formatCode="0;0" sourceLinked="0"/>
        <c:tickLblPos val="nextTo"/>
        <c:spPr>
          <a:noFill/>
          <a:ln>
            <a:solidFill>
              <a:schemeClr val="bg1">
                <a:lumMod val="65000"/>
              </a:schemeClr>
            </a:solid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234318848"/>
        <c:crosses val="autoZero"/>
        <c:crossBetween val="between"/>
        <c:majorUnit val="2"/>
        <c:minorUnit val="1"/>
      </c:valAx>
      <c:spPr>
        <a:noFill/>
        <a:ln>
          <a:noFill/>
        </a:ln>
        <a:effectLst/>
      </c:spPr>
    </c:plotArea>
    <c:legend>
      <c:legendPos val="b"/>
      <c:legendEntry>
        <c:idx val="3"/>
        <c:delete val="1"/>
      </c:legendEntry>
      <c:legendEntry>
        <c:idx val="2"/>
        <c:delete val="1"/>
      </c:legendEntry>
      <c:layout>
        <c:manualLayout>
          <c:xMode val="edge"/>
          <c:yMode val="edge"/>
          <c:x val="0.38040098039215708"/>
          <c:y val="0.9227226190476191"/>
          <c:w val="0.3431776896962373"/>
          <c:h val="7.0454477856101899E-2"/>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it-IT"/>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it-IT"/>
  <c:chart>
    <c:plotArea>
      <c:layout>
        <c:manualLayout>
          <c:layoutTarget val="inner"/>
          <c:xMode val="edge"/>
          <c:yMode val="edge"/>
          <c:x val="6.344597131938462E-2"/>
          <c:y val="5.8150392827369543E-2"/>
          <c:w val="0.90090359477124138"/>
          <c:h val="0.66732884278407989"/>
        </c:manualLayout>
      </c:layout>
      <c:lineChart>
        <c:grouping val="standard"/>
        <c:ser>
          <c:idx val="0"/>
          <c:order val="0"/>
          <c:tx>
            <c:strRef>
              <c:f>'Fig. 5'!$H$4</c:f>
              <c:strCache>
                <c:ptCount val="1"/>
                <c:pt idx="0">
                  <c:v>Basilicata</c:v>
                </c:pt>
              </c:strCache>
            </c:strRef>
          </c:tx>
          <c:spPr>
            <a:ln w="19050">
              <a:noFill/>
            </a:ln>
          </c:spPr>
          <c:marker>
            <c:symbol val="triangle"/>
            <c:size val="8"/>
            <c:spPr>
              <a:solidFill>
                <a:srgbClr val="A5A5A5"/>
              </a:solidFill>
              <a:ln>
                <a:noFill/>
              </a:ln>
            </c:spPr>
          </c:marker>
          <c:cat>
            <c:multiLvlStrRef>
              <c:f>'Fig. 5'!$B$5:$C$13</c:f>
              <c:multiLvlStrCache>
                <c:ptCount val="9"/>
                <c:lvl>
                  <c:pt idx="0">
                    <c:v>2011</c:v>
                  </c:pt>
                  <c:pt idx="1">
                    <c:v>2018</c:v>
                  </c:pt>
                  <c:pt idx="2">
                    <c:v>2019</c:v>
                  </c:pt>
                  <c:pt idx="3">
                    <c:v>2011</c:v>
                  </c:pt>
                  <c:pt idx="4">
                    <c:v>2018</c:v>
                  </c:pt>
                  <c:pt idx="5">
                    <c:v>2019</c:v>
                  </c:pt>
                  <c:pt idx="6">
                    <c:v>2011</c:v>
                  </c:pt>
                  <c:pt idx="7">
                    <c:v>2018</c:v>
                  </c:pt>
                  <c:pt idx="8">
                    <c:v>2019</c:v>
                  </c:pt>
                </c:lvl>
                <c:lvl>
                  <c:pt idx="0">
                    <c:v>Maschi</c:v>
                  </c:pt>
                  <c:pt idx="3">
                    <c:v>Femmine</c:v>
                  </c:pt>
                  <c:pt idx="6">
                    <c:v>Totale</c:v>
                  </c:pt>
                </c:lvl>
              </c:multiLvlStrCache>
            </c:multiLvlStrRef>
          </c:cat>
          <c:val>
            <c:numRef>
              <c:f>'Fig. 5'!$H$5:$H$13</c:f>
              <c:numCache>
                <c:formatCode>0.0</c:formatCode>
                <c:ptCount val="9"/>
                <c:pt idx="0">
                  <c:v>1.9432136049706661</c:v>
                </c:pt>
                <c:pt idx="1">
                  <c:v>4.0502808549055853</c:v>
                </c:pt>
                <c:pt idx="2">
                  <c:v>4.1594708800293958</c:v>
                </c:pt>
                <c:pt idx="3">
                  <c:v>2.5174678331081046</c:v>
                </c:pt>
                <c:pt idx="4">
                  <c:v>3.9043291415689185</c:v>
                </c:pt>
                <c:pt idx="5">
                  <c:v>4.0017217826854123</c:v>
                </c:pt>
                <c:pt idx="6">
                  <c:v>2.2365389006913072</c:v>
                </c:pt>
                <c:pt idx="7">
                  <c:v>3.9761039909629119</c:v>
                </c:pt>
                <c:pt idx="8">
                  <c:v>4.0793198060926814</c:v>
                </c:pt>
              </c:numCache>
            </c:numRef>
          </c:val>
          <c:extLst xmlns:c16r2="http://schemas.microsoft.com/office/drawing/2015/06/chart">
            <c:ext xmlns:c16="http://schemas.microsoft.com/office/drawing/2014/chart" uri="{C3380CC4-5D6E-409C-BE32-E72D297353CC}">
              <c16:uniqueId val="{00000000-1BC2-4F54-9C22-B5CFA44B8F57}"/>
            </c:ext>
          </c:extLst>
        </c:ser>
        <c:ser>
          <c:idx val="1"/>
          <c:order val="1"/>
          <c:tx>
            <c:strRef>
              <c:f>'Fig. 5'!$I$4</c:f>
              <c:strCache>
                <c:ptCount val="1"/>
                <c:pt idx="0">
                  <c:v>Italia</c:v>
                </c:pt>
              </c:strCache>
            </c:strRef>
          </c:tx>
          <c:spPr>
            <a:ln w="19050">
              <a:noFill/>
            </a:ln>
          </c:spPr>
          <c:marker>
            <c:symbol val="circle"/>
            <c:size val="6"/>
            <c:spPr>
              <a:solidFill>
                <a:srgbClr val="C9321F"/>
              </a:solidFill>
              <a:ln>
                <a:noFill/>
              </a:ln>
              <a:scene3d>
                <a:camera prst="orthographicFront"/>
                <a:lightRig rig="threePt" dir="t"/>
              </a:scene3d>
              <a:sp3d prstMaterial="matte"/>
            </c:spPr>
          </c:marker>
          <c:cat>
            <c:multiLvlStrRef>
              <c:f>'Fig. 5'!$B$5:$C$13</c:f>
              <c:multiLvlStrCache>
                <c:ptCount val="9"/>
                <c:lvl>
                  <c:pt idx="0">
                    <c:v>2011</c:v>
                  </c:pt>
                  <c:pt idx="1">
                    <c:v>2018</c:v>
                  </c:pt>
                  <c:pt idx="2">
                    <c:v>2019</c:v>
                  </c:pt>
                  <c:pt idx="3">
                    <c:v>2011</c:v>
                  </c:pt>
                  <c:pt idx="4">
                    <c:v>2018</c:v>
                  </c:pt>
                  <c:pt idx="5">
                    <c:v>2019</c:v>
                  </c:pt>
                  <c:pt idx="6">
                    <c:v>2011</c:v>
                  </c:pt>
                  <c:pt idx="7">
                    <c:v>2018</c:v>
                  </c:pt>
                  <c:pt idx="8">
                    <c:v>2019</c:v>
                  </c:pt>
                </c:lvl>
                <c:lvl>
                  <c:pt idx="0">
                    <c:v>Maschi</c:v>
                  </c:pt>
                  <c:pt idx="3">
                    <c:v>Femmine</c:v>
                  </c:pt>
                  <c:pt idx="6">
                    <c:v>Totale</c:v>
                  </c:pt>
                </c:lvl>
              </c:multiLvlStrCache>
            </c:multiLvlStrRef>
          </c:cat>
          <c:val>
            <c:numRef>
              <c:f>'Fig. 5'!$I$5:$I$13</c:f>
              <c:numCache>
                <c:formatCode>0.0</c:formatCode>
                <c:ptCount val="9"/>
                <c:pt idx="0">
                  <c:v>6.5437356871110328</c:v>
                </c:pt>
                <c:pt idx="1">
                  <c:v>8.2876277475057201</c:v>
                </c:pt>
                <c:pt idx="2">
                  <c:v>8.3706367097719792</c:v>
                </c:pt>
                <c:pt idx="3">
                  <c:v>6.9948527834948653</c:v>
                </c:pt>
                <c:pt idx="4">
                  <c:v>8.413989835843525</c:v>
                </c:pt>
                <c:pt idx="5">
                  <c:v>8.5251400132429485</c:v>
                </c:pt>
                <c:pt idx="6">
                  <c:v>6.7766671404715852</c:v>
                </c:pt>
                <c:pt idx="7">
                  <c:v>8.3524504948645379</c:v>
                </c:pt>
                <c:pt idx="8">
                  <c:v>8.4498847513663673</c:v>
                </c:pt>
              </c:numCache>
            </c:numRef>
          </c:val>
          <c:extLst xmlns:c16r2="http://schemas.microsoft.com/office/drawing/2015/06/chart">
            <c:ext xmlns:c16="http://schemas.microsoft.com/office/drawing/2014/chart" uri="{C3380CC4-5D6E-409C-BE32-E72D297353CC}">
              <c16:uniqueId val="{00000001-1BC2-4F54-9C22-B5CFA44B8F57}"/>
            </c:ext>
          </c:extLst>
        </c:ser>
        <c:dropLines>
          <c:spPr>
            <a:ln>
              <a:solidFill>
                <a:srgbClr val="5A5A5A"/>
              </a:solidFill>
            </a:ln>
          </c:spPr>
        </c:dropLines>
        <c:marker val="1"/>
        <c:axId val="234501632"/>
        <c:axId val="234503168"/>
      </c:lineChart>
      <c:catAx>
        <c:axId val="234501632"/>
        <c:scaling>
          <c:orientation val="minMax"/>
        </c:scaling>
        <c:axPos val="b"/>
        <c:numFmt formatCode="General" sourceLinked="0"/>
        <c:tickLblPos val="nextTo"/>
        <c:spPr>
          <a:ln w="9525">
            <a:solidFill>
              <a:schemeClr val="bg1">
                <a:lumMod val="65000"/>
              </a:schemeClr>
            </a:solidFill>
          </a:ln>
        </c:spPr>
        <c:txPr>
          <a:bodyPr/>
          <a:lstStyle/>
          <a:p>
            <a:pPr>
              <a:defRPr b="1"/>
            </a:pPr>
            <a:endParaRPr lang="it-IT"/>
          </a:p>
        </c:txPr>
        <c:crossAx val="234503168"/>
        <c:crosses val="autoZero"/>
        <c:auto val="1"/>
        <c:lblAlgn val="ctr"/>
        <c:lblOffset val="100"/>
      </c:catAx>
      <c:valAx>
        <c:axId val="234503168"/>
        <c:scaling>
          <c:orientation val="minMax"/>
        </c:scaling>
        <c:axPos val="l"/>
        <c:majorGridlines>
          <c:spPr>
            <a:ln>
              <a:solidFill>
                <a:schemeClr val="bg1">
                  <a:lumMod val="85000"/>
                </a:schemeClr>
              </a:solidFill>
            </a:ln>
          </c:spPr>
        </c:majorGridlines>
        <c:numFmt formatCode="#,##0" sourceLinked="0"/>
        <c:tickLblPos val="nextTo"/>
        <c:spPr>
          <a:ln w="9525">
            <a:solidFill>
              <a:schemeClr val="bg1">
                <a:lumMod val="65000"/>
              </a:schemeClr>
            </a:solidFill>
          </a:ln>
        </c:spPr>
        <c:crossAx val="234501632"/>
        <c:crosses val="autoZero"/>
        <c:crossBetween val="between"/>
      </c:valAx>
      <c:spPr>
        <a:ln w="6350">
          <a:solidFill>
            <a:schemeClr val="bg1">
              <a:lumMod val="85000"/>
            </a:schemeClr>
          </a:solidFill>
        </a:ln>
      </c:spPr>
    </c:plotArea>
    <c:legend>
      <c:legendPos val="b"/>
      <c:layout>
        <c:manualLayout>
          <c:xMode val="edge"/>
          <c:yMode val="edge"/>
          <c:x val="0.2635254901960784"/>
          <c:y val="0.9125520356579373"/>
          <c:w val="0.48780588235294148"/>
          <c:h val="8.7447964342062298E-2"/>
        </c:manualLayout>
      </c:layout>
    </c:legend>
    <c:plotVisOnly val="1"/>
    <c:dispBlanksAs val="gap"/>
  </c:chart>
  <c:spPr>
    <a:ln>
      <a:noFill/>
    </a:ln>
  </c:spPr>
  <c:txPr>
    <a:bodyPr/>
    <a:lstStyle/>
    <a:p>
      <a:pPr>
        <a:defRPr sz="800">
          <a:solidFill>
            <a:schemeClr val="tx1">
              <a:lumMod val="65000"/>
              <a:lumOff val="35000"/>
            </a:schemeClr>
          </a:solidFill>
          <a:latin typeface="Arial Narrow" panose="020B0606020202030204" pitchFamily="34" charset="0"/>
          <a:cs typeface="Arial" pitchFamily="34" charset="0"/>
        </a:defRPr>
      </a:pPr>
      <a:endParaRPr lang="it-IT"/>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plotArea>
      <c:layout>
        <c:manualLayout>
          <c:layoutTarget val="inner"/>
          <c:xMode val="edge"/>
          <c:yMode val="edge"/>
          <c:x val="7.691829373149657E-2"/>
          <c:y val="5.4090010113321901E-2"/>
          <c:w val="0.89780282215945661"/>
          <c:h val="0.67908743838657992"/>
        </c:manualLayout>
      </c:layout>
      <c:barChart>
        <c:barDir val="col"/>
        <c:grouping val="clustered"/>
        <c:ser>
          <c:idx val="2"/>
          <c:order val="2"/>
          <c:tx>
            <c:strRef>
              <c:f>'Fig. 5'!$K$18</c:f>
              <c:strCache>
                <c:ptCount val="1"/>
                <c:pt idx="0">
                  <c:v>Totale</c:v>
                </c:pt>
              </c:strCache>
            </c:strRef>
          </c:tx>
          <c:cat>
            <c:strRef>
              <c:f>'Fig. 5'!$B$19:$B$23</c:f>
              <c:strCache>
                <c:ptCount val="5"/>
                <c:pt idx="0">
                  <c:v>Matera</c:v>
                </c:pt>
                <c:pt idx="1">
                  <c:v>Potenza</c:v>
                </c:pt>
                <c:pt idx="2">
                  <c:v>0</c:v>
                </c:pt>
                <c:pt idx="3">
                  <c:v>0</c:v>
                </c:pt>
                <c:pt idx="4">
                  <c:v>0</c:v>
                </c:pt>
              </c:strCache>
            </c:strRef>
          </c:cat>
          <c:val>
            <c:numRef>
              <c:f>'Fig. 5'!$K$19:$K$20</c:f>
              <c:numCache>
                <c:formatCode>0.0</c:formatCode>
                <c:ptCount val="2"/>
                <c:pt idx="0">
                  <c:v>5.4985040004516224</c:v>
                </c:pt>
                <c:pt idx="1">
                  <c:v>3.3077474672224692</c:v>
                </c:pt>
              </c:numCache>
            </c:numRef>
          </c:val>
          <c:extLst xmlns:c16r2="http://schemas.microsoft.com/office/drawing/2015/06/chart">
            <c:ext xmlns:c16="http://schemas.microsoft.com/office/drawing/2014/chart" uri="{C3380CC4-5D6E-409C-BE32-E72D297353CC}">
              <c16:uniqueId val="{00000000-5108-421E-8B87-32F5B8D2096B}"/>
            </c:ext>
          </c:extLst>
        </c:ser>
        <c:gapWidth val="204"/>
        <c:axId val="234563840"/>
        <c:axId val="234594304"/>
      </c:barChart>
      <c:lineChart>
        <c:grouping val="standard"/>
        <c:ser>
          <c:idx val="0"/>
          <c:order val="0"/>
          <c:tx>
            <c:strRef>
              <c:f>'Fig. 5'!$I$18</c:f>
              <c:strCache>
                <c:ptCount val="1"/>
                <c:pt idx="0">
                  <c:v>Maschi</c:v>
                </c:pt>
              </c:strCache>
            </c:strRef>
          </c:tx>
          <c:spPr>
            <a:ln w="19050">
              <a:noFill/>
            </a:ln>
          </c:spPr>
          <c:marker>
            <c:symbol val="diamond"/>
            <c:size val="10"/>
            <c:spPr>
              <a:solidFill>
                <a:srgbClr val="5A5A5A"/>
              </a:solidFill>
              <a:ln>
                <a:noFill/>
              </a:ln>
            </c:spPr>
          </c:marker>
          <c:cat>
            <c:strRef>
              <c:f>'Fig. 5'!$B$19:$B$25</c:f>
              <c:strCache>
                <c:ptCount val="7"/>
                <c:pt idx="0">
                  <c:v>Matera</c:v>
                </c:pt>
                <c:pt idx="1">
                  <c:v>Potenza</c:v>
                </c:pt>
                <c:pt idx="2">
                  <c:v>0</c:v>
                </c:pt>
                <c:pt idx="3">
                  <c:v>0</c:v>
                </c:pt>
                <c:pt idx="4">
                  <c:v>0</c:v>
                </c:pt>
                <c:pt idx="5">
                  <c:v>0</c:v>
                </c:pt>
                <c:pt idx="6">
                  <c:v>0</c:v>
                </c:pt>
              </c:strCache>
            </c:strRef>
          </c:cat>
          <c:val>
            <c:numRef>
              <c:f>'Fig. 5'!$I$19:$I$20</c:f>
              <c:numCache>
                <c:formatCode>0.0</c:formatCode>
                <c:ptCount val="2"/>
                <c:pt idx="0">
                  <c:v>5.6866997539308519</c:v>
                </c:pt>
                <c:pt idx="1">
                  <c:v>3.3283780256692492</c:v>
                </c:pt>
              </c:numCache>
            </c:numRef>
          </c:val>
          <c:extLst xmlns:c16r2="http://schemas.microsoft.com/office/drawing/2015/06/chart">
            <c:ext xmlns:c16="http://schemas.microsoft.com/office/drawing/2014/chart" uri="{C3380CC4-5D6E-409C-BE32-E72D297353CC}">
              <c16:uniqueId val="{00000001-5108-421E-8B87-32F5B8D2096B}"/>
            </c:ext>
          </c:extLst>
        </c:ser>
        <c:ser>
          <c:idx val="1"/>
          <c:order val="1"/>
          <c:tx>
            <c:strRef>
              <c:f>'Fig. 5'!$J$18</c:f>
              <c:strCache>
                <c:ptCount val="1"/>
                <c:pt idx="0">
                  <c:v>Femmine</c:v>
                </c:pt>
              </c:strCache>
            </c:strRef>
          </c:tx>
          <c:spPr>
            <a:ln w="19050">
              <a:noFill/>
            </a:ln>
          </c:spPr>
          <c:marker>
            <c:symbol val="square"/>
            <c:size val="8"/>
            <c:spPr>
              <a:solidFill>
                <a:srgbClr val="C9321F">
                  <a:alpha val="80000"/>
                </a:srgbClr>
              </a:solidFill>
              <a:ln>
                <a:noFill/>
              </a:ln>
            </c:spPr>
          </c:marker>
          <c:cat>
            <c:strRef>
              <c:f>'Fig. 5'!$B$19:$B$25</c:f>
              <c:strCache>
                <c:ptCount val="7"/>
                <c:pt idx="0">
                  <c:v>Matera</c:v>
                </c:pt>
                <c:pt idx="1">
                  <c:v>Potenza</c:v>
                </c:pt>
                <c:pt idx="2">
                  <c:v>0</c:v>
                </c:pt>
                <c:pt idx="3">
                  <c:v>0</c:v>
                </c:pt>
                <c:pt idx="4">
                  <c:v>0</c:v>
                </c:pt>
                <c:pt idx="5">
                  <c:v>0</c:v>
                </c:pt>
                <c:pt idx="6">
                  <c:v>0</c:v>
                </c:pt>
              </c:strCache>
            </c:strRef>
          </c:cat>
          <c:val>
            <c:numRef>
              <c:f>'Fig. 5'!$J$19:$J$20</c:f>
              <c:numCache>
                <c:formatCode>0.0</c:formatCode>
                <c:ptCount val="2"/>
                <c:pt idx="0">
                  <c:v>5.316084693516598</c:v>
                </c:pt>
                <c:pt idx="1">
                  <c:v>3.2877870431875467</c:v>
                </c:pt>
              </c:numCache>
            </c:numRef>
          </c:val>
          <c:extLst xmlns:c16r2="http://schemas.microsoft.com/office/drawing/2015/06/chart">
            <c:ext xmlns:c16="http://schemas.microsoft.com/office/drawing/2014/chart" uri="{C3380CC4-5D6E-409C-BE32-E72D297353CC}">
              <c16:uniqueId val="{00000002-5108-421E-8B87-32F5B8D2096B}"/>
            </c:ext>
          </c:extLst>
        </c:ser>
        <c:marker val="1"/>
        <c:axId val="234563840"/>
        <c:axId val="234594304"/>
      </c:lineChart>
      <c:catAx>
        <c:axId val="234563840"/>
        <c:scaling>
          <c:orientation val="minMax"/>
        </c:scaling>
        <c:axPos val="b"/>
        <c:numFmt formatCode="General" sourceLinked="0"/>
        <c:tickLblPos val="nextTo"/>
        <c:spPr>
          <a:ln w="9525">
            <a:solidFill>
              <a:schemeClr val="bg1">
                <a:lumMod val="65000"/>
              </a:schemeClr>
            </a:solidFill>
          </a:ln>
        </c:spPr>
        <c:txPr>
          <a:bodyPr/>
          <a:lstStyle/>
          <a:p>
            <a:pPr>
              <a:defRPr b="1"/>
            </a:pPr>
            <a:endParaRPr lang="it-IT"/>
          </a:p>
        </c:txPr>
        <c:crossAx val="234594304"/>
        <c:crosses val="autoZero"/>
        <c:auto val="1"/>
        <c:lblAlgn val="ctr"/>
        <c:lblOffset val="100"/>
      </c:catAx>
      <c:valAx>
        <c:axId val="234594304"/>
        <c:scaling>
          <c:orientation val="minMax"/>
          <c:max val="9"/>
        </c:scaling>
        <c:axPos val="l"/>
        <c:majorGridlines>
          <c:spPr>
            <a:ln>
              <a:solidFill>
                <a:schemeClr val="bg1">
                  <a:lumMod val="85000"/>
                </a:schemeClr>
              </a:solidFill>
            </a:ln>
          </c:spPr>
        </c:majorGridlines>
        <c:numFmt formatCode="#,##0" sourceLinked="0"/>
        <c:tickLblPos val="nextTo"/>
        <c:spPr>
          <a:ln w="9525">
            <a:solidFill>
              <a:schemeClr val="bg1">
                <a:lumMod val="65000"/>
              </a:schemeClr>
            </a:solidFill>
          </a:ln>
        </c:spPr>
        <c:crossAx val="234563840"/>
        <c:crosses val="autoZero"/>
        <c:crossBetween val="between"/>
      </c:valAx>
      <c:spPr>
        <a:ln w="6350">
          <a:solidFill>
            <a:schemeClr val="bg1">
              <a:lumMod val="85000"/>
            </a:schemeClr>
          </a:solidFill>
        </a:ln>
      </c:spPr>
    </c:plotArea>
    <c:legend>
      <c:legendPos val="b"/>
      <c:layout>
        <c:manualLayout>
          <c:xMode val="edge"/>
          <c:yMode val="edge"/>
          <c:x val="0.28212444801809489"/>
          <c:y val="0.85905998004292361"/>
          <c:w val="0.45235555555555557"/>
          <c:h val="0.11153690322670266"/>
        </c:manualLayout>
      </c:layout>
    </c:legend>
    <c:plotVisOnly val="1"/>
    <c:dispBlanksAs val="gap"/>
  </c:chart>
  <c:spPr>
    <a:ln>
      <a:noFill/>
    </a:ln>
  </c:spPr>
  <c:txPr>
    <a:bodyPr/>
    <a:lstStyle/>
    <a:p>
      <a:pPr>
        <a:defRPr sz="800">
          <a:solidFill>
            <a:schemeClr val="tx1">
              <a:lumMod val="65000"/>
              <a:lumOff val="35000"/>
            </a:schemeClr>
          </a:solidFill>
          <a:latin typeface="Arial Narrow" panose="020B0606020202030204" pitchFamily="34" charset="0"/>
          <a:cs typeface="Arial" pitchFamily="34" charset="0"/>
        </a:defRPr>
      </a:pPr>
      <a:endParaRPr lang="it-IT"/>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0.17563562091503268"/>
          <c:y val="5.2916666666666695E-2"/>
          <c:w val="0.75220065359477184"/>
          <c:h val="0.77395092592592596"/>
        </c:manualLayout>
      </c:layout>
      <c:barChart>
        <c:barDir val="bar"/>
        <c:grouping val="clustered"/>
        <c:ser>
          <c:idx val="0"/>
          <c:order val="0"/>
          <c:tx>
            <c:strRef>
              <c:f>'Fig. 6'!$A$7</c:f>
              <c:strCache>
                <c:ptCount val="1"/>
                <c:pt idx="0">
                  <c:v>Basilicata</c:v>
                </c:pt>
              </c:strCache>
            </c:strRef>
          </c:tx>
          <c:spPr>
            <a:solidFill>
              <a:srgbClr val="D3D3D3"/>
            </a:solidFill>
            <a:ln w="6350">
              <a:solidFill>
                <a:srgbClr val="A5A5A5"/>
              </a:solidFill>
            </a:ln>
            <a:effectLst/>
          </c:spPr>
          <c:cat>
            <c:strRef>
              <c:f>'Fig. 6'!$D$4:$N$4</c:f>
              <c:strCache>
                <c:ptCount val="11"/>
                <c:pt idx="0">
                  <c:v>0-9</c:v>
                </c:pt>
                <c:pt idx="1">
                  <c:v>10-19</c:v>
                </c:pt>
                <c:pt idx="2">
                  <c:v>20-29</c:v>
                </c:pt>
                <c:pt idx="3">
                  <c:v>30-39</c:v>
                </c:pt>
                <c:pt idx="4">
                  <c:v>40-49</c:v>
                </c:pt>
                <c:pt idx="5">
                  <c:v>50-59</c:v>
                </c:pt>
                <c:pt idx="6">
                  <c:v>60-69</c:v>
                </c:pt>
                <c:pt idx="7">
                  <c:v>70-79</c:v>
                </c:pt>
                <c:pt idx="8">
                  <c:v>80-89</c:v>
                </c:pt>
                <c:pt idx="9">
                  <c:v>90-99</c:v>
                </c:pt>
                <c:pt idx="10">
                  <c:v>100 e più</c:v>
                </c:pt>
              </c:strCache>
            </c:strRef>
          </c:cat>
          <c:val>
            <c:numRef>
              <c:f>'Fig. 6'!$D$7:$N$7</c:f>
              <c:numCache>
                <c:formatCode>0.0</c:formatCode>
                <c:ptCount val="11"/>
                <c:pt idx="0">
                  <c:v>-5.2815809295936909</c:v>
                </c:pt>
                <c:pt idx="1">
                  <c:v>-5.2195489388098721</c:v>
                </c:pt>
                <c:pt idx="2">
                  <c:v>-12.791882670920289</c:v>
                </c:pt>
                <c:pt idx="3">
                  <c:v>-12.432983295671054</c:v>
                </c:pt>
                <c:pt idx="4">
                  <c:v>-8.0685896583809722</c:v>
                </c:pt>
                <c:pt idx="5">
                  <c:v>-4.2314679427533379</c:v>
                </c:pt>
                <c:pt idx="6">
                  <c:v>-1.5419380566263459</c:v>
                </c:pt>
                <c:pt idx="7">
                  <c:v>-0.48739421330143123</c:v>
                </c:pt>
                <c:pt idx="8">
                  <c:v>-9.3047986175727765E-2</c:v>
                </c:pt>
                <c:pt idx="9">
                  <c:v>-8.861712969116935E-3</c:v>
                </c:pt>
                <c:pt idx="10">
                  <c:v>0</c:v>
                </c:pt>
              </c:numCache>
            </c:numRef>
          </c:val>
          <c:extLst xmlns:c16r2="http://schemas.microsoft.com/office/drawing/2015/06/chart">
            <c:ext xmlns:c16="http://schemas.microsoft.com/office/drawing/2014/chart" uri="{C3380CC4-5D6E-409C-BE32-E72D297353CC}">
              <c16:uniqueId val="{00000000-6DA1-4069-AC9E-15B86F89C467}"/>
            </c:ext>
          </c:extLst>
        </c:ser>
        <c:ser>
          <c:idx val="2"/>
          <c:order val="1"/>
          <c:tx>
            <c:strRef>
              <c:f>'Fig. 6'!$A$8:$C$8</c:f>
              <c:strCache>
                <c:ptCount val="3"/>
                <c:pt idx="0">
                  <c:v>Basilicata</c:v>
                </c:pt>
                <c:pt idx="1">
                  <c:v>2019</c:v>
                </c:pt>
                <c:pt idx="2">
                  <c:v>F</c:v>
                </c:pt>
              </c:strCache>
            </c:strRef>
          </c:tx>
          <c:spPr>
            <a:solidFill>
              <a:srgbClr val="D3D3D3"/>
            </a:solidFill>
            <a:ln w="6350">
              <a:solidFill>
                <a:srgbClr val="A5A5A5"/>
              </a:solidFill>
            </a:ln>
            <a:effectLst/>
          </c:spPr>
          <c:cat>
            <c:strRef>
              <c:f>'Fig. 6'!$D$4:$N$4</c:f>
              <c:strCache>
                <c:ptCount val="11"/>
                <c:pt idx="0">
                  <c:v>0-9</c:v>
                </c:pt>
                <c:pt idx="1">
                  <c:v>10-19</c:v>
                </c:pt>
                <c:pt idx="2">
                  <c:v>20-29</c:v>
                </c:pt>
                <c:pt idx="3">
                  <c:v>30-39</c:v>
                </c:pt>
                <c:pt idx="4">
                  <c:v>40-49</c:v>
                </c:pt>
                <c:pt idx="5">
                  <c:v>50-59</c:v>
                </c:pt>
                <c:pt idx="6">
                  <c:v>60-69</c:v>
                </c:pt>
                <c:pt idx="7">
                  <c:v>70-79</c:v>
                </c:pt>
                <c:pt idx="8">
                  <c:v>80-89</c:v>
                </c:pt>
                <c:pt idx="9">
                  <c:v>90-99</c:v>
                </c:pt>
                <c:pt idx="10">
                  <c:v>100 e più</c:v>
                </c:pt>
              </c:strCache>
            </c:strRef>
          </c:cat>
          <c:val>
            <c:numRef>
              <c:f>'Fig. 6'!$D$8:$N$8</c:f>
              <c:numCache>
                <c:formatCode>0.0</c:formatCode>
                <c:ptCount val="11"/>
                <c:pt idx="0">
                  <c:v>5.1619478045106115</c:v>
                </c:pt>
                <c:pt idx="1">
                  <c:v>4.0586645398555516</c:v>
                </c:pt>
                <c:pt idx="2">
                  <c:v>7.0362000974788446</c:v>
                </c:pt>
                <c:pt idx="3">
                  <c:v>10.988524081704997</c:v>
                </c:pt>
                <c:pt idx="4">
                  <c:v>10.044751650494041</c:v>
                </c:pt>
                <c:pt idx="5">
                  <c:v>7.6476582923479093</c:v>
                </c:pt>
                <c:pt idx="6">
                  <c:v>3.739642872967345</c:v>
                </c:pt>
                <c:pt idx="7">
                  <c:v>0.96149585714918751</c:v>
                </c:pt>
                <c:pt idx="8">
                  <c:v>0.18609597235145559</c:v>
                </c:pt>
                <c:pt idx="9">
                  <c:v>1.7723425938233867E-2</c:v>
                </c:pt>
                <c:pt idx="10">
                  <c:v>0</c:v>
                </c:pt>
              </c:numCache>
            </c:numRef>
          </c:val>
          <c:extLst xmlns:c16r2="http://schemas.microsoft.com/office/drawing/2015/06/chart">
            <c:ext xmlns:c16="http://schemas.microsoft.com/office/drawing/2014/chart" uri="{C3380CC4-5D6E-409C-BE32-E72D297353CC}">
              <c16:uniqueId val="{00000001-6DA1-4069-AC9E-15B86F89C467}"/>
            </c:ext>
          </c:extLst>
        </c:ser>
        <c:ser>
          <c:idx val="1"/>
          <c:order val="2"/>
          <c:tx>
            <c:strRef>
              <c:f>'Fig. 6'!$A$5</c:f>
              <c:strCache>
                <c:ptCount val="1"/>
                <c:pt idx="0">
                  <c:v>Italia</c:v>
                </c:pt>
              </c:strCache>
            </c:strRef>
          </c:tx>
          <c:spPr>
            <a:noFill/>
            <a:ln w="6350">
              <a:solidFill>
                <a:srgbClr val="C9321F"/>
              </a:solidFill>
            </a:ln>
            <a:effectLst/>
          </c:spPr>
          <c:cat>
            <c:strRef>
              <c:f>'Fig. 6'!$D$4:$N$4</c:f>
              <c:strCache>
                <c:ptCount val="11"/>
                <c:pt idx="0">
                  <c:v>0-9</c:v>
                </c:pt>
                <c:pt idx="1">
                  <c:v>10-19</c:v>
                </c:pt>
                <c:pt idx="2">
                  <c:v>20-29</c:v>
                </c:pt>
                <c:pt idx="3">
                  <c:v>30-39</c:v>
                </c:pt>
                <c:pt idx="4">
                  <c:v>40-49</c:v>
                </c:pt>
                <c:pt idx="5">
                  <c:v>50-59</c:v>
                </c:pt>
                <c:pt idx="6">
                  <c:v>60-69</c:v>
                </c:pt>
                <c:pt idx="7">
                  <c:v>70-79</c:v>
                </c:pt>
                <c:pt idx="8">
                  <c:v>80-89</c:v>
                </c:pt>
                <c:pt idx="9">
                  <c:v>90-99</c:v>
                </c:pt>
                <c:pt idx="10">
                  <c:v>100 e più</c:v>
                </c:pt>
              </c:strCache>
            </c:strRef>
          </c:cat>
          <c:val>
            <c:numRef>
              <c:f>'Fig. 6'!$D$5:$N$5</c:f>
              <c:numCache>
                <c:formatCode>0.0</c:formatCode>
                <c:ptCount val="11"/>
                <c:pt idx="0">
                  <c:v>-6.4218514150920019</c:v>
                </c:pt>
                <c:pt idx="1">
                  <c:v>-5.1253096205143365</c:v>
                </c:pt>
                <c:pt idx="2">
                  <c:v>-8.0404997423425506</c:v>
                </c:pt>
                <c:pt idx="3">
                  <c:v>-11.009840589709144</c:v>
                </c:pt>
                <c:pt idx="4">
                  <c:v>-9.4609195067025667</c:v>
                </c:pt>
                <c:pt idx="5">
                  <c:v>-5.2324998804477394</c:v>
                </c:pt>
                <c:pt idx="6">
                  <c:v>-2.052211300139275</c:v>
                </c:pt>
                <c:pt idx="7">
                  <c:v>-0.67449302400153044</c:v>
                </c:pt>
                <c:pt idx="8">
                  <c:v>-0.20858645176229965</c:v>
                </c:pt>
                <c:pt idx="9">
                  <c:v>-2.3950137678566942E-2</c:v>
                </c:pt>
                <c:pt idx="10">
                  <c:v>-8.9292145446189918E-4</c:v>
                </c:pt>
              </c:numCache>
            </c:numRef>
          </c:val>
          <c:extLst xmlns:c16r2="http://schemas.microsoft.com/office/drawing/2015/06/chart">
            <c:ext xmlns:c16="http://schemas.microsoft.com/office/drawing/2014/chart" uri="{C3380CC4-5D6E-409C-BE32-E72D297353CC}">
              <c16:uniqueId val="{00000002-6DA1-4069-AC9E-15B86F89C467}"/>
            </c:ext>
          </c:extLst>
        </c:ser>
        <c:ser>
          <c:idx val="3"/>
          <c:order val="3"/>
          <c:tx>
            <c:strRef>
              <c:f>'Fig. 6'!$A$6:$C$6</c:f>
              <c:strCache>
                <c:ptCount val="3"/>
                <c:pt idx="0">
                  <c:v>Italia</c:v>
                </c:pt>
                <c:pt idx="1">
                  <c:v>2019</c:v>
                </c:pt>
                <c:pt idx="2">
                  <c:v>F</c:v>
                </c:pt>
              </c:strCache>
            </c:strRef>
          </c:tx>
          <c:spPr>
            <a:noFill/>
            <a:ln w="6350">
              <a:solidFill>
                <a:srgbClr val="C9321F"/>
              </a:solidFill>
            </a:ln>
            <a:effectLst/>
          </c:spPr>
          <c:cat>
            <c:strRef>
              <c:f>'Fig. 6'!$D$4:$N$4</c:f>
              <c:strCache>
                <c:ptCount val="11"/>
                <c:pt idx="0">
                  <c:v>0-9</c:v>
                </c:pt>
                <c:pt idx="1">
                  <c:v>10-19</c:v>
                </c:pt>
                <c:pt idx="2">
                  <c:v>20-29</c:v>
                </c:pt>
                <c:pt idx="3">
                  <c:v>30-39</c:v>
                </c:pt>
                <c:pt idx="4">
                  <c:v>40-49</c:v>
                </c:pt>
                <c:pt idx="5">
                  <c:v>50-59</c:v>
                </c:pt>
                <c:pt idx="6">
                  <c:v>60-69</c:v>
                </c:pt>
                <c:pt idx="7">
                  <c:v>70-79</c:v>
                </c:pt>
                <c:pt idx="8">
                  <c:v>80-89</c:v>
                </c:pt>
                <c:pt idx="9">
                  <c:v>90-99</c:v>
                </c:pt>
                <c:pt idx="10">
                  <c:v>100 e più</c:v>
                </c:pt>
              </c:strCache>
            </c:strRef>
          </c:cat>
          <c:val>
            <c:numRef>
              <c:f>'Fig. 6'!$D$6:$N$6</c:f>
              <c:numCache>
                <c:formatCode>0.0</c:formatCode>
                <c:ptCount val="11"/>
                <c:pt idx="0">
                  <c:v>6.0358910770755898</c:v>
                </c:pt>
                <c:pt idx="1">
                  <c:v>4.4672463512749037</c:v>
                </c:pt>
                <c:pt idx="2">
                  <c:v>6.4285979327479321</c:v>
                </c:pt>
                <c:pt idx="3">
                  <c:v>11.183702318242371</c:v>
                </c:pt>
                <c:pt idx="4">
                  <c:v>10.244864858322138</c:v>
                </c:pt>
                <c:pt idx="5">
                  <c:v>7.5511390998994568</c:v>
                </c:pt>
                <c:pt idx="6">
                  <c:v>4.1900835318099281</c:v>
                </c:pt>
                <c:pt idx="7">
                  <c:v>1.2552689806825372</c:v>
                </c:pt>
                <c:pt idx="8">
                  <c:v>0.34238577103866835</c:v>
                </c:pt>
                <c:pt idx="9">
                  <c:v>4.7920118056121903E-2</c:v>
                </c:pt>
                <c:pt idx="10">
                  <c:v>1.8453710058879246E-3</c:v>
                </c:pt>
              </c:numCache>
            </c:numRef>
          </c:val>
          <c:extLst xmlns:c16r2="http://schemas.microsoft.com/office/drawing/2015/06/chart">
            <c:ext xmlns:c16="http://schemas.microsoft.com/office/drawing/2014/chart" uri="{C3380CC4-5D6E-409C-BE32-E72D297353CC}">
              <c16:uniqueId val="{00000003-6DA1-4069-AC9E-15B86F89C467}"/>
            </c:ext>
          </c:extLst>
        </c:ser>
        <c:gapWidth val="0"/>
        <c:overlap val="100"/>
        <c:axId val="234654720"/>
        <c:axId val="234681088"/>
      </c:barChart>
      <c:catAx>
        <c:axId val="234654720"/>
        <c:scaling>
          <c:orientation val="minMax"/>
        </c:scaling>
        <c:axPos val="l"/>
        <c:numFmt formatCode="General" sourceLinked="1"/>
        <c:majorTickMark val="none"/>
        <c:tickLblPos val="low"/>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234681088"/>
        <c:crosses val="autoZero"/>
        <c:auto val="1"/>
        <c:lblAlgn val="ctr"/>
        <c:lblOffset val="100"/>
      </c:catAx>
      <c:valAx>
        <c:axId val="234681088"/>
        <c:scaling>
          <c:orientation val="minMax"/>
        </c:scaling>
        <c:axPos val="b"/>
        <c:majorGridlines>
          <c:spPr>
            <a:ln w="9525" cap="flat" cmpd="sng" algn="ctr">
              <a:solidFill>
                <a:schemeClr val="tx1">
                  <a:lumMod val="15000"/>
                  <a:lumOff val="85000"/>
                </a:schemeClr>
              </a:solidFill>
              <a:round/>
            </a:ln>
            <a:effectLst/>
          </c:spPr>
        </c:majorGridlines>
        <c:numFmt formatCode="0;0" sourceLinked="0"/>
        <c:tickLblPos val="nextTo"/>
        <c:spPr>
          <a:noFill/>
          <a:ln>
            <a:solidFill>
              <a:schemeClr val="bg1">
                <a:lumMod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234654720"/>
        <c:crosses val="autoZero"/>
        <c:crossBetween val="between"/>
      </c:valAx>
      <c:spPr>
        <a:noFill/>
        <a:ln w="6350">
          <a:solidFill>
            <a:schemeClr val="bg1">
              <a:lumMod val="85000"/>
            </a:schemeClr>
          </a:solidFill>
        </a:ln>
        <a:effectLst/>
      </c:spPr>
    </c:plotArea>
    <c:legend>
      <c:legendPos val="b"/>
      <c:legendEntry>
        <c:idx val="2"/>
        <c:delete val="1"/>
      </c:legendEntry>
      <c:legendEntry>
        <c:idx val="0"/>
        <c:delete val="1"/>
      </c:legendEntry>
      <c:layout>
        <c:manualLayout>
          <c:xMode val="edge"/>
          <c:yMode val="edge"/>
          <c:x val="0.35040555555555558"/>
          <c:y val="0.89434675925925899"/>
          <c:w val="0.29918856209150341"/>
          <c:h val="8.9194318355091159E-2"/>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legend>
    <c:plotVisOnly val="1"/>
    <c:dispBlanksAs val="gap"/>
  </c:chart>
  <c:spPr>
    <a:solidFill>
      <a:schemeClr val="bg1"/>
    </a:solidFill>
    <a:ln w="9525" cap="flat" cmpd="sng" algn="ctr">
      <a:noFill/>
      <a:round/>
    </a:ln>
    <a:effectLst/>
  </c:spPr>
  <c:txPr>
    <a:bodyPr/>
    <a:lstStyle/>
    <a:p>
      <a:pPr>
        <a:defRPr sz="800">
          <a:latin typeface="Arial Narrow" panose="020B0606020202030204" pitchFamily="34" charset="0"/>
        </a:defRPr>
      </a:pPr>
      <a:endParaRPr lang="it-IT"/>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0.10292156862745099"/>
          <c:y val="6.3569750779276415E-2"/>
          <c:w val="0.85142483660130763"/>
          <c:h val="0.76824196225002872"/>
        </c:manualLayout>
      </c:layout>
      <c:barChart>
        <c:barDir val="col"/>
        <c:grouping val="clustered"/>
        <c:ser>
          <c:idx val="1"/>
          <c:order val="1"/>
          <c:tx>
            <c:strRef>
              <c:f>'Fig. 6'!$K$23</c:f>
              <c:strCache>
                <c:ptCount val="1"/>
                <c:pt idx="0">
                  <c:v>Basilicata</c:v>
                </c:pt>
              </c:strCache>
            </c:strRef>
          </c:tx>
          <c:spPr>
            <a:solidFill>
              <a:srgbClr val="C0C0C0"/>
            </a:solidFill>
            <a:ln w="25400">
              <a:noFill/>
            </a:ln>
            <a:effectLst/>
          </c:spPr>
          <c:cat>
            <c:strRef>
              <c:f>'Fig. 6'!$A$24:$A$34</c:f>
              <c:strCache>
                <c:ptCount val="11"/>
                <c:pt idx="0">
                  <c:v>0-9</c:v>
                </c:pt>
                <c:pt idx="1">
                  <c:v>10-19</c:v>
                </c:pt>
                <c:pt idx="2">
                  <c:v>20-29</c:v>
                </c:pt>
                <c:pt idx="3">
                  <c:v>30-39</c:v>
                </c:pt>
                <c:pt idx="4">
                  <c:v>40-49</c:v>
                </c:pt>
                <c:pt idx="5">
                  <c:v>50-59</c:v>
                </c:pt>
                <c:pt idx="6">
                  <c:v>60-69</c:v>
                </c:pt>
                <c:pt idx="7">
                  <c:v>70-79</c:v>
                </c:pt>
                <c:pt idx="8">
                  <c:v>80-89</c:v>
                </c:pt>
                <c:pt idx="9">
                  <c:v>90-99</c:v>
                </c:pt>
                <c:pt idx="10">
                  <c:v>100 e più</c:v>
                </c:pt>
              </c:strCache>
            </c:strRef>
          </c:cat>
          <c:val>
            <c:numRef>
              <c:f>'Fig. 6'!$K$24:$K$34</c:f>
              <c:numCache>
                <c:formatCode>0.0</c:formatCode>
                <c:ptCount val="11"/>
                <c:pt idx="0">
                  <c:v>-0.84205294906401362</c:v>
                </c:pt>
                <c:pt idx="1">
                  <c:v>-1.2570587985622959</c:v>
                </c:pt>
                <c:pt idx="2">
                  <c:v>-0.9639964395216617</c:v>
                </c:pt>
                <c:pt idx="3">
                  <c:v>-1.0834431176734607</c:v>
                </c:pt>
                <c:pt idx="4">
                  <c:v>-0.76815621587747174</c:v>
                </c:pt>
                <c:pt idx="5">
                  <c:v>1.5991138588636211</c:v>
                </c:pt>
                <c:pt idx="6">
                  <c:v>2.4427814246431949</c:v>
                </c:pt>
                <c:pt idx="7">
                  <c:v>0.7527267041139849</c:v>
                </c:pt>
                <c:pt idx="8">
                  <c:v>0.11670583971530207</c:v>
                </c:pt>
                <c:pt idx="9">
                  <c:v>3.379693362796336E-3</c:v>
                </c:pt>
                <c:pt idx="10">
                  <c:v>0</c:v>
                </c:pt>
              </c:numCache>
            </c:numRef>
          </c:val>
          <c:extLst xmlns:c16r2="http://schemas.microsoft.com/office/drawing/2015/06/chart">
            <c:ext xmlns:c16="http://schemas.microsoft.com/office/drawing/2014/chart" uri="{C3380CC4-5D6E-409C-BE32-E72D297353CC}">
              <c16:uniqueId val="{00000000-FE08-40D8-B8AD-895ACD0A3D88}"/>
            </c:ext>
          </c:extLst>
        </c:ser>
        <c:gapWidth val="60"/>
        <c:axId val="234691200"/>
        <c:axId val="234725760"/>
      </c:barChart>
      <c:lineChart>
        <c:grouping val="stacked"/>
        <c:ser>
          <c:idx val="0"/>
          <c:order val="0"/>
          <c:tx>
            <c:strRef>
              <c:f>'Fig. 6'!$J$23</c:f>
              <c:strCache>
                <c:ptCount val="1"/>
                <c:pt idx="0">
                  <c:v>Italia</c:v>
                </c:pt>
              </c:strCache>
            </c:strRef>
          </c:tx>
          <c:spPr>
            <a:ln w="28575" cap="rnd">
              <a:noFill/>
              <a:round/>
            </a:ln>
            <a:effectLst/>
          </c:spPr>
          <c:marker>
            <c:symbol val="circle"/>
            <c:size val="7"/>
            <c:spPr>
              <a:solidFill>
                <a:srgbClr val="C9321F"/>
              </a:solidFill>
              <a:ln w="9525">
                <a:noFill/>
              </a:ln>
              <a:effectLst/>
            </c:spPr>
          </c:marker>
          <c:cat>
            <c:strRef>
              <c:f>'Fig. 6'!$A$24:$A$34</c:f>
              <c:strCache>
                <c:ptCount val="11"/>
                <c:pt idx="0">
                  <c:v>0-9</c:v>
                </c:pt>
                <c:pt idx="1">
                  <c:v>10-19</c:v>
                </c:pt>
                <c:pt idx="2">
                  <c:v>20-29</c:v>
                </c:pt>
                <c:pt idx="3">
                  <c:v>30-39</c:v>
                </c:pt>
                <c:pt idx="4">
                  <c:v>40-49</c:v>
                </c:pt>
                <c:pt idx="5">
                  <c:v>50-59</c:v>
                </c:pt>
                <c:pt idx="6">
                  <c:v>60-69</c:v>
                </c:pt>
                <c:pt idx="7">
                  <c:v>70-79</c:v>
                </c:pt>
                <c:pt idx="8">
                  <c:v>80-89</c:v>
                </c:pt>
                <c:pt idx="9">
                  <c:v>90-99</c:v>
                </c:pt>
                <c:pt idx="10">
                  <c:v>100 e più</c:v>
                </c:pt>
              </c:strCache>
            </c:strRef>
          </c:cat>
          <c:val>
            <c:numRef>
              <c:f>'Fig. 6'!$J$24:$J$34</c:f>
              <c:numCache>
                <c:formatCode>0.0</c:formatCode>
                <c:ptCount val="11"/>
                <c:pt idx="0">
                  <c:v>-2.3266454365060412</c:v>
                </c:pt>
                <c:pt idx="1">
                  <c:v>-1.1466460446834881</c:v>
                </c:pt>
                <c:pt idx="2">
                  <c:v>-3.3162136260801529</c:v>
                </c:pt>
                <c:pt idx="3">
                  <c:v>-2.6910851869540044</c:v>
                </c:pt>
                <c:pt idx="4">
                  <c:v>1.3246880023277616</c:v>
                </c:pt>
                <c:pt idx="5">
                  <c:v>3.5812227685182449</c:v>
                </c:pt>
                <c:pt idx="6">
                  <c:v>3.3749737021623623</c:v>
                </c:pt>
                <c:pt idx="7">
                  <c:v>0.88093101810065244</c:v>
                </c:pt>
                <c:pt idx="8">
                  <c:v>0.28272493972336382</c:v>
                </c:pt>
                <c:pt idx="9">
                  <c:v>3.4826110385578805E-2</c:v>
                </c:pt>
                <c:pt idx="10">
                  <c:v>1.2237530057280321E-3</c:v>
                </c:pt>
              </c:numCache>
            </c:numRef>
          </c:val>
          <c:extLst xmlns:c16r2="http://schemas.microsoft.com/office/drawing/2015/06/chart">
            <c:ext xmlns:c16="http://schemas.microsoft.com/office/drawing/2014/chart" uri="{C3380CC4-5D6E-409C-BE32-E72D297353CC}">
              <c16:uniqueId val="{00000001-FE08-40D8-B8AD-895ACD0A3D88}"/>
            </c:ext>
          </c:extLst>
        </c:ser>
        <c:marker val="1"/>
        <c:axId val="234691200"/>
        <c:axId val="234725760"/>
      </c:lineChart>
      <c:catAx>
        <c:axId val="234691200"/>
        <c:scaling>
          <c:orientation val="minMax"/>
        </c:scaling>
        <c:axPos val="b"/>
        <c:majorGridlines>
          <c:spPr>
            <a:ln w="6350" cap="flat" cmpd="sng" algn="ctr">
              <a:solidFill>
                <a:schemeClr val="bg1">
                  <a:lumMod val="85000"/>
                </a:schemeClr>
              </a:solidFill>
              <a:round/>
            </a:ln>
            <a:effectLst/>
          </c:spPr>
        </c:majorGridlines>
        <c:numFmt formatCode="General" sourceLinked="1"/>
        <c:majorTickMark val="none"/>
        <c:tickLblPos val="low"/>
        <c:spPr>
          <a:noFill/>
          <a:ln w="9525" cap="flat" cmpd="sng" algn="ctr">
            <a:solidFill>
              <a:schemeClr val="bg1">
                <a:lumMod val="6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234725760"/>
        <c:crossesAt val="0"/>
        <c:auto val="1"/>
        <c:lblAlgn val="ctr"/>
        <c:lblOffset val="100"/>
      </c:catAx>
      <c:valAx>
        <c:axId val="234725760"/>
        <c:scaling>
          <c:orientation val="minMax"/>
          <c:max val="4"/>
        </c:scaling>
        <c:axPos val="l"/>
        <c:majorGridlines>
          <c:spPr>
            <a:ln w="6350" cap="flat" cmpd="sng" algn="ctr">
              <a:solidFill>
                <a:schemeClr val="bg1">
                  <a:lumMod val="85000"/>
                </a:schemeClr>
              </a:solidFill>
              <a:round/>
            </a:ln>
            <a:effectLst/>
          </c:spPr>
        </c:majorGridlines>
        <c:numFmt formatCode="0" sourceLinked="0"/>
        <c:tickLblPos val="low"/>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234691200"/>
        <c:crosses val="autoZero"/>
        <c:crossBetween val="between"/>
      </c:valAx>
      <c:spPr>
        <a:noFill/>
        <a:ln>
          <a:noFill/>
        </a:ln>
        <a:effectLst/>
      </c:spPr>
    </c:plotArea>
    <c:legend>
      <c:legendPos val="b"/>
      <c:layout>
        <c:manualLayout>
          <c:xMode val="edge"/>
          <c:yMode val="edge"/>
          <c:x val="0.3457469714321465"/>
          <c:y val="0.90638292633683448"/>
          <c:w val="0.30850605713570739"/>
          <c:h val="9.361707366316549E-2"/>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Arial Narrow" panose="020B0606020202030204" pitchFamily="34" charset="0"/>
        </a:defRPr>
      </a:pPr>
      <a:endParaRPr lang="it-IT"/>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barChart>
        <c:barDir val="col"/>
        <c:grouping val="percentStacked"/>
        <c:ser>
          <c:idx val="0"/>
          <c:order val="0"/>
          <c:tx>
            <c:strRef>
              <c:f>'Fig. 7'!$C$22</c:f>
              <c:strCache>
                <c:ptCount val="1"/>
                <c:pt idx="0">
                  <c:v>Europa</c:v>
                </c:pt>
              </c:strCache>
            </c:strRef>
          </c:tx>
          <c:spPr>
            <a:solidFill>
              <a:srgbClr val="C9321F"/>
            </a:solidFill>
            <a:ln>
              <a:noFill/>
            </a:ln>
            <a:effectLst/>
          </c:spPr>
          <c:cat>
            <c:strRef>
              <c:f>'Fig. 7'!$B$23:$B$26</c:f>
              <c:strCache>
                <c:ptCount val="4"/>
                <c:pt idx="0">
                  <c:v>ITALIA</c:v>
                </c:pt>
                <c:pt idx="1">
                  <c:v>BASILICATA</c:v>
                </c:pt>
                <c:pt idx="2">
                  <c:v> Matera</c:v>
                </c:pt>
                <c:pt idx="3">
                  <c:v> Potenza</c:v>
                </c:pt>
              </c:strCache>
            </c:strRef>
          </c:cat>
          <c:val>
            <c:numRef>
              <c:f>'Fig. 7'!$C$23:$C$26</c:f>
              <c:numCache>
                <c:formatCode>_-* #,##0.0_-;\-* #,##0.0_-;_-* "-"??_-;_-@_-</c:formatCode>
                <c:ptCount val="4"/>
                <c:pt idx="0">
                  <c:v>49.609723874953708</c:v>
                </c:pt>
                <c:pt idx="1">
                  <c:v>59.143072355886396</c:v>
                </c:pt>
                <c:pt idx="2">
                  <c:v>61.741646443905175</c:v>
                </c:pt>
                <c:pt idx="3">
                  <c:v>56.794601433994096</c:v>
                </c:pt>
              </c:numCache>
            </c:numRef>
          </c:val>
          <c:extLst xmlns:c16r2="http://schemas.microsoft.com/office/drawing/2015/06/chart">
            <c:ext xmlns:c16="http://schemas.microsoft.com/office/drawing/2014/chart" uri="{C3380CC4-5D6E-409C-BE32-E72D297353CC}">
              <c16:uniqueId val="{00000000-4CDF-44CB-87C1-A5D5A3CDC667}"/>
            </c:ext>
          </c:extLst>
        </c:ser>
        <c:ser>
          <c:idx val="1"/>
          <c:order val="1"/>
          <c:tx>
            <c:strRef>
              <c:f>'Fig. 7'!$D$22</c:f>
              <c:strCache>
                <c:ptCount val="1"/>
                <c:pt idx="0">
                  <c:v>Africa</c:v>
                </c:pt>
              </c:strCache>
            </c:strRef>
          </c:tx>
          <c:spPr>
            <a:solidFill>
              <a:srgbClr val="EC9084"/>
            </a:solidFill>
            <a:ln>
              <a:noFill/>
            </a:ln>
            <a:effectLst/>
          </c:spPr>
          <c:cat>
            <c:strRef>
              <c:f>'Fig. 7'!$B$23:$B$26</c:f>
              <c:strCache>
                <c:ptCount val="4"/>
                <c:pt idx="0">
                  <c:v>ITALIA</c:v>
                </c:pt>
                <c:pt idx="1">
                  <c:v>BASILICATA</c:v>
                </c:pt>
                <c:pt idx="2">
                  <c:v> Matera</c:v>
                </c:pt>
                <c:pt idx="3">
                  <c:v> Potenza</c:v>
                </c:pt>
              </c:strCache>
            </c:strRef>
          </c:cat>
          <c:val>
            <c:numRef>
              <c:f>'Fig. 7'!$D$23:$D$26</c:f>
              <c:numCache>
                <c:formatCode>_-* #,##0.0_-;\-* #,##0.0_-;_-* "-"??_-;_-@_-</c:formatCode>
                <c:ptCount val="4"/>
                <c:pt idx="0">
                  <c:v>21.969975218453232</c:v>
                </c:pt>
                <c:pt idx="1">
                  <c:v>24.196907262173777</c:v>
                </c:pt>
                <c:pt idx="2">
                  <c:v>20.767220459212247</c:v>
                </c:pt>
                <c:pt idx="3">
                  <c:v>27.29649936735554</c:v>
                </c:pt>
              </c:numCache>
            </c:numRef>
          </c:val>
          <c:extLst xmlns:c16r2="http://schemas.microsoft.com/office/drawing/2015/06/chart">
            <c:ext xmlns:c16="http://schemas.microsoft.com/office/drawing/2014/chart" uri="{C3380CC4-5D6E-409C-BE32-E72D297353CC}">
              <c16:uniqueId val="{00000001-4CDF-44CB-87C1-A5D5A3CDC667}"/>
            </c:ext>
          </c:extLst>
        </c:ser>
        <c:ser>
          <c:idx val="2"/>
          <c:order val="2"/>
          <c:tx>
            <c:strRef>
              <c:f>'Fig. 7'!$E$22</c:f>
              <c:strCache>
                <c:ptCount val="1"/>
                <c:pt idx="0">
                  <c:v>Asia</c:v>
                </c:pt>
              </c:strCache>
            </c:strRef>
          </c:tx>
          <c:spPr>
            <a:solidFill>
              <a:srgbClr val="A5A5A5"/>
            </a:solidFill>
            <a:ln>
              <a:noFill/>
            </a:ln>
            <a:effectLst/>
          </c:spPr>
          <c:cat>
            <c:strRef>
              <c:f>'Fig. 7'!$B$23:$B$26</c:f>
              <c:strCache>
                <c:ptCount val="4"/>
                <c:pt idx="0">
                  <c:v>ITALIA</c:v>
                </c:pt>
                <c:pt idx="1">
                  <c:v>BASILICATA</c:v>
                </c:pt>
                <c:pt idx="2">
                  <c:v> Matera</c:v>
                </c:pt>
                <c:pt idx="3">
                  <c:v> Potenza</c:v>
                </c:pt>
              </c:strCache>
            </c:strRef>
          </c:cat>
          <c:val>
            <c:numRef>
              <c:f>'Fig. 7'!$E$23:$E$26</c:f>
              <c:numCache>
                <c:formatCode>_-* #,##0.0_-;\-* #,##0.0_-;_-* "-"??_-;_-@_-</c:formatCode>
                <c:ptCount val="4"/>
                <c:pt idx="0">
                  <c:v>21.039432006710001</c:v>
                </c:pt>
                <c:pt idx="1">
                  <c:v>13.44321857415038</c:v>
                </c:pt>
                <c:pt idx="2">
                  <c:v>15.073735299608</c:v>
                </c:pt>
                <c:pt idx="3">
                  <c:v>11.96963306621679</c:v>
                </c:pt>
              </c:numCache>
            </c:numRef>
          </c:val>
          <c:extLst xmlns:c16r2="http://schemas.microsoft.com/office/drawing/2015/06/chart">
            <c:ext xmlns:c16="http://schemas.microsoft.com/office/drawing/2014/chart" uri="{C3380CC4-5D6E-409C-BE32-E72D297353CC}">
              <c16:uniqueId val="{00000002-4CDF-44CB-87C1-A5D5A3CDC667}"/>
            </c:ext>
          </c:extLst>
        </c:ser>
        <c:ser>
          <c:idx val="3"/>
          <c:order val="3"/>
          <c:tx>
            <c:strRef>
              <c:f>'Fig. 7'!$F$22</c:f>
              <c:strCache>
                <c:ptCount val="1"/>
                <c:pt idx="0">
                  <c:v>America</c:v>
                </c:pt>
              </c:strCache>
            </c:strRef>
          </c:tx>
          <c:spPr>
            <a:solidFill>
              <a:srgbClr val="5A5A5A"/>
            </a:solidFill>
            <a:ln>
              <a:noFill/>
            </a:ln>
            <a:effectLst/>
          </c:spPr>
          <c:cat>
            <c:strRef>
              <c:f>'Fig. 7'!$B$23:$B$26</c:f>
              <c:strCache>
                <c:ptCount val="4"/>
                <c:pt idx="0">
                  <c:v>ITALIA</c:v>
                </c:pt>
                <c:pt idx="1">
                  <c:v>BASILICATA</c:v>
                </c:pt>
                <c:pt idx="2">
                  <c:v> Matera</c:v>
                </c:pt>
                <c:pt idx="3">
                  <c:v> Potenza</c:v>
                </c:pt>
              </c:strCache>
            </c:strRef>
          </c:cat>
          <c:val>
            <c:numRef>
              <c:f>'Fig. 7'!$F$23:$F$26</c:f>
              <c:numCache>
                <c:formatCode>_-* #,##0.0_-;\-* #,##0.0_-;_-* "-"??_-;_-@_-</c:formatCode>
                <c:ptCount val="4"/>
                <c:pt idx="0">
                  <c:v>7.3231266458278643</c:v>
                </c:pt>
                <c:pt idx="1">
                  <c:v>3.1769240994284194</c:v>
                </c:pt>
                <c:pt idx="2">
                  <c:v>2.3800634683591562</c:v>
                </c:pt>
                <c:pt idx="3">
                  <c:v>3.8970898355124421</c:v>
                </c:pt>
              </c:numCache>
            </c:numRef>
          </c:val>
          <c:extLst xmlns:c16r2="http://schemas.microsoft.com/office/drawing/2015/06/chart">
            <c:ext xmlns:c16="http://schemas.microsoft.com/office/drawing/2014/chart" uri="{C3380CC4-5D6E-409C-BE32-E72D297353CC}">
              <c16:uniqueId val="{00000003-4CDF-44CB-87C1-A5D5A3CDC667}"/>
            </c:ext>
          </c:extLst>
        </c:ser>
        <c:ser>
          <c:idx val="4"/>
          <c:order val="4"/>
          <c:tx>
            <c:strRef>
              <c:f>'Fig. 7'!$G$22</c:f>
              <c:strCache>
                <c:ptCount val="1"/>
                <c:pt idx="0">
                  <c:v>Altri paesi</c:v>
                </c:pt>
              </c:strCache>
            </c:strRef>
          </c:tx>
          <c:spPr>
            <a:solidFill>
              <a:srgbClr val="171717"/>
            </a:solidFill>
            <a:ln>
              <a:noFill/>
            </a:ln>
            <a:effectLst/>
          </c:spPr>
          <c:cat>
            <c:strRef>
              <c:f>'Fig. 7'!$B$23:$B$26</c:f>
              <c:strCache>
                <c:ptCount val="4"/>
                <c:pt idx="0">
                  <c:v>ITALIA</c:v>
                </c:pt>
                <c:pt idx="1">
                  <c:v>BASILICATA</c:v>
                </c:pt>
                <c:pt idx="2">
                  <c:v> Matera</c:v>
                </c:pt>
                <c:pt idx="3">
                  <c:v> Potenza</c:v>
                </c:pt>
              </c:strCache>
            </c:strRef>
          </c:cat>
          <c:val>
            <c:numRef>
              <c:f>'Fig. 7'!$G$23:$G$26</c:f>
              <c:numCache>
                <c:formatCode>_-* #,##0.0_-;\-* #,##0.0_-;_-* "-"??_-;_-@_-</c:formatCode>
                <c:ptCount val="4"/>
                <c:pt idx="0">
                  <c:v>5.7742254055202821E-2</c:v>
                </c:pt>
                <c:pt idx="1">
                  <c:v>3.98777083610262E-2</c:v>
                </c:pt>
                <c:pt idx="2">
                  <c:v>3.7334328915437746E-2</c:v>
                </c:pt>
                <c:pt idx="3">
                  <c:v>4.2176296921130375E-2</c:v>
                </c:pt>
              </c:numCache>
            </c:numRef>
          </c:val>
          <c:extLst xmlns:c16r2="http://schemas.microsoft.com/office/drawing/2015/06/chart">
            <c:ext xmlns:c16="http://schemas.microsoft.com/office/drawing/2014/chart" uri="{C3380CC4-5D6E-409C-BE32-E72D297353CC}">
              <c16:uniqueId val="{00000004-4CDF-44CB-87C1-A5D5A3CDC667}"/>
            </c:ext>
          </c:extLst>
        </c:ser>
        <c:gapWidth val="80"/>
        <c:overlap val="100"/>
        <c:axId val="244151040"/>
        <c:axId val="244152576"/>
      </c:barChart>
      <c:catAx>
        <c:axId val="244151040"/>
        <c:scaling>
          <c:orientation val="minMax"/>
        </c:scaling>
        <c:axPos val="b"/>
        <c:numFmt formatCode="General" sourceLinked="1"/>
        <c:maj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244152576"/>
        <c:crosses val="autoZero"/>
        <c:auto val="1"/>
        <c:lblAlgn val="ctr"/>
        <c:lblOffset val="100"/>
      </c:catAx>
      <c:valAx>
        <c:axId val="244152576"/>
        <c:scaling>
          <c:orientation val="minMax"/>
        </c:scaling>
        <c:axPos val="l"/>
        <c:majorGridlines>
          <c:spPr>
            <a:ln w="6350" cap="flat" cmpd="sng" algn="ctr">
              <a:solidFill>
                <a:schemeClr val="bg1">
                  <a:lumMod val="85000"/>
                </a:schemeClr>
              </a:solidFill>
              <a:round/>
            </a:ln>
            <a:effectLst/>
          </c:spPr>
        </c:majorGridlines>
        <c:numFmt formatCode="0%" sourceLinked="1"/>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244151040"/>
        <c:crosses val="autoZero"/>
        <c:crossBetween val="between"/>
      </c:valAx>
      <c:spPr>
        <a:noFill/>
        <a:ln w="6350">
          <a:solidFill>
            <a:schemeClr val="bg1">
              <a:lumMod val="85000"/>
            </a:schemeClr>
          </a:solidFill>
        </a:ln>
        <a:effectLst/>
      </c:spPr>
    </c:plotArea>
    <c:legend>
      <c:legendPos val="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legend>
    <c:plotVisOnly val="1"/>
    <c:dispBlanksAs val="gap"/>
  </c:chart>
  <c:spPr>
    <a:solidFill>
      <a:schemeClr val="bg1"/>
    </a:solidFill>
    <a:ln w="6350" cap="flat" cmpd="sng" algn="ctr">
      <a:solidFill>
        <a:schemeClr val="bg1">
          <a:lumMod val="85000"/>
        </a:schemeClr>
      </a:solidFill>
      <a:round/>
    </a:ln>
    <a:effectLst/>
  </c:spPr>
  <c:txPr>
    <a:bodyPr/>
    <a:lstStyle/>
    <a:p>
      <a:pPr>
        <a:defRPr sz="800">
          <a:solidFill>
            <a:schemeClr val="tx1">
              <a:lumMod val="65000"/>
              <a:lumOff val="35000"/>
            </a:schemeClr>
          </a:solidFill>
          <a:latin typeface="Arial Narrow" panose="020B0606020202030204" pitchFamily="34" charset="0"/>
        </a:defRPr>
      </a:pPr>
      <a:endParaRPr lang="it-IT"/>
    </a:p>
  </c:txPr>
  <c:externalData r:id="rId1"/>
</c:chartSpace>
</file>

<file path=word/drawings/drawing1.xml><?xml version="1.0" encoding="utf-8"?>
<c:userShapes xmlns:c="http://schemas.openxmlformats.org/drawingml/2006/chart">
  <cdr:relSizeAnchor xmlns:cdr="http://schemas.openxmlformats.org/drawingml/2006/chartDrawing">
    <cdr:from>
      <cdr:x>0.33214</cdr:x>
      <cdr:y>0.04851</cdr:y>
    </cdr:from>
    <cdr:to>
      <cdr:x>0.81733</cdr:x>
      <cdr:y>0.15044</cdr:y>
    </cdr:to>
    <cdr:sp macro="" textlink="">
      <cdr:nvSpPr>
        <cdr:cNvPr id="2" name="CasellaDiTesto 1"/>
        <cdr:cNvSpPr txBox="1"/>
      </cdr:nvSpPr>
      <cdr:spPr>
        <a:xfrm xmlns:a="http://schemas.openxmlformats.org/drawingml/2006/main">
          <a:off x="1063803" y="89072"/>
          <a:ext cx="1554003" cy="1871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it-IT" sz="800" b="1">
              <a:solidFill>
                <a:schemeClr val="tx1">
                  <a:lumMod val="65000"/>
                  <a:lumOff val="35000"/>
                </a:schemeClr>
              </a:solidFill>
              <a:latin typeface="Arial Narrow" panose="020B0606020202030204" pitchFamily="34" charset="0"/>
            </a:rPr>
            <a:t>Maschi                      Femmine             </a:t>
          </a:r>
        </a:p>
      </cdr:txBody>
    </cdr:sp>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CFBBC-8204-42DA-9CF9-1963B17E9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7710</Words>
  <Characters>43953</Characters>
  <Application>Microsoft Office Word</Application>
  <DocSecurity>0</DocSecurity>
  <Lines>366</Lines>
  <Paragraphs>103</Paragraphs>
  <ScaleCrop>false</ScaleCrop>
  <HeadingPairs>
    <vt:vector size="2" baseType="variant">
      <vt:variant>
        <vt:lpstr>Titolo</vt:lpstr>
      </vt:variant>
      <vt:variant>
        <vt:i4>1</vt:i4>
      </vt:variant>
    </vt:vector>
  </HeadingPairs>
  <TitlesOfParts>
    <vt:vector size="1" baseType="lpstr">
      <vt:lpstr>Focus Provincia di Napoli</vt:lpstr>
    </vt:vector>
  </TitlesOfParts>
  <Company>ISTAT</Company>
  <LinksUpToDate>false</LinksUpToDate>
  <CharactersWithSpaces>51560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Focus Provincia di Napoli</dc:title>
  <dc:creator>Istat sede per la Campania</dc:creator>
  <cp:lastModifiedBy>Michele</cp:lastModifiedBy>
  <cp:revision>2</cp:revision>
  <cp:lastPrinted>2021-01-14T10:59:00Z</cp:lastPrinted>
  <dcterms:created xsi:type="dcterms:W3CDTF">2021-02-19T11:31:00Z</dcterms:created>
  <dcterms:modified xsi:type="dcterms:W3CDTF">2021-02-19T11:31:00Z</dcterms:modified>
</cp:coreProperties>
</file>